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180EC" w14:textId="77777777" w:rsidR="000E602B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2808">
        <w:rPr>
          <w:rFonts w:ascii="Arial" w:eastAsia="Times New Roman" w:hAnsi="Arial" w:cs="Arial"/>
          <w:color w:val="000000"/>
        </w:rPr>
        <w:t>The Nigerian currency, Naira (NG</w:t>
      </w:r>
      <w:r w:rsidR="002C62F7">
        <w:rPr>
          <w:rFonts w:ascii="Arial" w:eastAsia="Times New Roman" w:hAnsi="Arial" w:cs="Arial"/>
          <w:color w:val="000000"/>
        </w:rPr>
        <w:t>N</w:t>
      </w:r>
      <w:r w:rsidRPr="00D72808">
        <w:rPr>
          <w:rFonts w:ascii="Arial" w:eastAsia="Times New Roman" w:hAnsi="Arial" w:cs="Arial"/>
          <w:color w:val="000000"/>
        </w:rPr>
        <w:t>), is the currency selected for the $1,000,000 FX speculative project. In this project, I predict</w:t>
      </w:r>
      <w:r w:rsidR="001E7475" w:rsidRPr="00D72808">
        <w:rPr>
          <w:rFonts w:ascii="Arial" w:eastAsia="Times New Roman" w:hAnsi="Arial" w:cs="Arial"/>
          <w:color w:val="000000"/>
        </w:rPr>
        <w:t>ed</w:t>
      </w:r>
      <w:r w:rsidRPr="00D72808">
        <w:rPr>
          <w:rFonts w:ascii="Arial" w:eastAsia="Times New Roman" w:hAnsi="Arial" w:cs="Arial"/>
          <w:color w:val="000000"/>
        </w:rPr>
        <w:t xml:space="preserve"> that </w:t>
      </w:r>
      <w:r w:rsidR="001E7475" w:rsidRPr="00D72808">
        <w:rPr>
          <w:rFonts w:ascii="Arial" w:eastAsia="Times New Roman" w:hAnsi="Arial" w:cs="Arial"/>
          <w:color w:val="000000"/>
        </w:rPr>
        <w:t>the Nair</w:t>
      </w:r>
      <w:r w:rsidR="002C62F7">
        <w:rPr>
          <w:rFonts w:ascii="Arial" w:eastAsia="Times New Roman" w:hAnsi="Arial" w:cs="Arial"/>
          <w:color w:val="000000"/>
        </w:rPr>
        <w:t>a would depreciate against the U</w:t>
      </w:r>
      <w:r w:rsidR="001E7475" w:rsidRPr="00D72808">
        <w:rPr>
          <w:rFonts w:ascii="Arial" w:eastAsia="Times New Roman" w:hAnsi="Arial" w:cs="Arial"/>
          <w:color w:val="000000"/>
        </w:rPr>
        <w:t xml:space="preserve">SD between March 23, 2020, and April 17, 2020. </w:t>
      </w:r>
      <w:r w:rsidR="00B256EC" w:rsidRPr="00D72808">
        <w:rPr>
          <w:rFonts w:ascii="Arial" w:eastAsia="Times New Roman" w:hAnsi="Arial" w:cs="Arial"/>
          <w:color w:val="000000"/>
        </w:rPr>
        <w:t>This prediction is based on the impact of the COVID 19 crisis on the global economy, including that of Nigeria. Nigeria's economy is known to be very fragile</w:t>
      </w:r>
      <w:r w:rsidR="00A045DE" w:rsidRPr="00D72808">
        <w:rPr>
          <w:rFonts w:ascii="Arial" w:eastAsia="Times New Roman" w:hAnsi="Arial" w:cs="Arial"/>
          <w:color w:val="000000"/>
        </w:rPr>
        <w:t>, import-dependent, and a mono</w:t>
      </w:r>
      <w:r w:rsidR="001A28E3" w:rsidRPr="00D72808">
        <w:rPr>
          <w:rFonts w:ascii="Arial" w:eastAsia="Times New Roman" w:hAnsi="Arial" w:cs="Arial"/>
          <w:color w:val="000000"/>
        </w:rPr>
        <w:t>-economy, which is</w:t>
      </w:r>
      <w:r w:rsidR="00B256EC" w:rsidRPr="00D72808">
        <w:rPr>
          <w:rFonts w:ascii="Arial" w:eastAsia="Times New Roman" w:hAnsi="Arial" w:cs="Arial"/>
          <w:color w:val="000000"/>
        </w:rPr>
        <w:t xml:space="preserve"> </w:t>
      </w:r>
      <w:r w:rsidR="00670211" w:rsidRPr="00D72808">
        <w:rPr>
          <w:rFonts w:ascii="Arial" w:eastAsia="Times New Roman" w:hAnsi="Arial" w:cs="Arial"/>
          <w:color w:val="000000"/>
        </w:rPr>
        <w:t>highly</w:t>
      </w:r>
      <w:r w:rsidR="00B256EC" w:rsidRPr="00D72808">
        <w:rPr>
          <w:rFonts w:ascii="Arial" w:eastAsia="Times New Roman" w:hAnsi="Arial" w:cs="Arial"/>
          <w:color w:val="000000"/>
        </w:rPr>
        <w:t xml:space="preserve"> dependent on </w:t>
      </w:r>
      <w:r w:rsidR="00A045DE" w:rsidRPr="00D72808">
        <w:rPr>
          <w:rFonts w:ascii="Arial" w:eastAsia="Times New Roman" w:hAnsi="Arial" w:cs="Arial"/>
          <w:color w:val="000000"/>
        </w:rPr>
        <w:t xml:space="preserve">oil </w:t>
      </w:r>
      <w:r w:rsidR="00B256EC" w:rsidRPr="00D72808">
        <w:rPr>
          <w:rFonts w:ascii="Arial" w:eastAsia="Times New Roman" w:hAnsi="Arial" w:cs="Arial"/>
          <w:color w:val="000000"/>
        </w:rPr>
        <w:t>proceeds</w:t>
      </w:r>
      <w:r w:rsidR="001A28E3" w:rsidRPr="00D72808">
        <w:rPr>
          <w:rFonts w:ascii="Arial" w:eastAsia="Times New Roman" w:hAnsi="Arial" w:cs="Arial"/>
          <w:color w:val="000000"/>
        </w:rPr>
        <w:t xml:space="preserve"> </w:t>
      </w:r>
      <w:r w:rsidR="00D32F6D" w:rsidRPr="00D72808">
        <w:rPr>
          <w:rFonts w:ascii="Arial" w:eastAsia="Times New Roman" w:hAnsi="Arial" w:cs="Arial"/>
          <w:color w:val="000000"/>
        </w:rPr>
        <w:t xml:space="preserve">to meet </w:t>
      </w:r>
      <w:r w:rsidR="001A28E3" w:rsidRPr="00D72808">
        <w:rPr>
          <w:rFonts w:ascii="Arial" w:eastAsia="Times New Roman" w:hAnsi="Arial" w:cs="Arial"/>
          <w:color w:val="000000"/>
        </w:rPr>
        <w:t>its foreign exchange</w:t>
      </w:r>
      <w:r w:rsidR="00D32F6D" w:rsidRPr="00D72808">
        <w:rPr>
          <w:rFonts w:ascii="Arial" w:eastAsia="Times New Roman" w:hAnsi="Arial" w:cs="Arial"/>
          <w:color w:val="000000"/>
        </w:rPr>
        <w:t xml:space="preserve"> demands</w:t>
      </w:r>
      <w:r w:rsidR="00A045DE" w:rsidRPr="00D72808">
        <w:rPr>
          <w:rFonts w:ascii="Arial" w:eastAsia="Times New Roman" w:hAnsi="Arial" w:cs="Arial"/>
          <w:color w:val="000000"/>
        </w:rPr>
        <w:t xml:space="preserve">. </w:t>
      </w:r>
      <w:r w:rsidR="00D32F6D" w:rsidRPr="00D72808">
        <w:rPr>
          <w:rFonts w:ascii="Arial" w:eastAsia="Times New Roman" w:hAnsi="Arial" w:cs="Arial"/>
          <w:color w:val="000000"/>
        </w:rPr>
        <w:t xml:space="preserve">The recent dispute between Saudi Arabia and Russia has led to a 50% decline in crude oil prices, which is the mainstay of the Nigerian economy. </w:t>
      </w:r>
      <w:r w:rsidR="00BC3ED7" w:rsidRPr="00D72808">
        <w:rPr>
          <w:rFonts w:ascii="Arial" w:eastAsia="Times New Roman" w:hAnsi="Arial" w:cs="Arial"/>
          <w:color w:val="000000"/>
        </w:rPr>
        <w:t xml:space="preserve">Therefore, </w:t>
      </w:r>
      <w:r w:rsidR="00B56838" w:rsidRPr="00D72808">
        <w:rPr>
          <w:rFonts w:ascii="Arial" w:eastAsia="Times New Roman" w:hAnsi="Arial" w:cs="Arial"/>
          <w:color w:val="000000"/>
        </w:rPr>
        <w:t>it</w:t>
      </w:r>
      <w:r w:rsidR="00BC3ED7" w:rsidRPr="00D72808">
        <w:rPr>
          <w:rFonts w:ascii="Arial" w:eastAsia="Times New Roman" w:hAnsi="Arial" w:cs="Arial"/>
          <w:color w:val="000000"/>
        </w:rPr>
        <w:t xml:space="preserve"> is my opinion that the currency will depreciate against the U.S dollar within the study period. As such, I will be going short on the Naira and converting my cash</w:t>
      </w:r>
      <w:r w:rsidR="002C62F7">
        <w:rPr>
          <w:rFonts w:ascii="Arial" w:eastAsia="Times New Roman" w:hAnsi="Arial" w:cs="Arial"/>
          <w:color w:val="000000"/>
        </w:rPr>
        <w:t xml:space="preserve"> from</w:t>
      </w:r>
      <w:r w:rsidR="00BC3ED7" w:rsidRPr="00D72808">
        <w:rPr>
          <w:rFonts w:ascii="Arial" w:eastAsia="Times New Roman" w:hAnsi="Arial" w:cs="Arial"/>
          <w:color w:val="000000"/>
        </w:rPr>
        <w:t xml:space="preserve"> Naira to $1,000,000 with the expectation of </w:t>
      </w:r>
      <w:r w:rsidR="00DE1585" w:rsidRPr="00D72808">
        <w:rPr>
          <w:rFonts w:ascii="Arial" w:eastAsia="Times New Roman" w:hAnsi="Arial" w:cs="Arial"/>
          <w:color w:val="000000"/>
        </w:rPr>
        <w:t xml:space="preserve">protecting </w:t>
      </w:r>
      <w:r w:rsidR="00BC3ED7" w:rsidRPr="00D72808">
        <w:rPr>
          <w:rFonts w:ascii="Arial" w:eastAsia="Times New Roman" w:hAnsi="Arial" w:cs="Arial"/>
          <w:color w:val="000000"/>
        </w:rPr>
        <w:t xml:space="preserve">the value of my investment and profiting from </w:t>
      </w:r>
      <w:r w:rsidR="00DE1585" w:rsidRPr="00D72808">
        <w:rPr>
          <w:rFonts w:ascii="Arial" w:eastAsia="Times New Roman" w:hAnsi="Arial" w:cs="Arial"/>
          <w:color w:val="000000"/>
        </w:rPr>
        <w:t>the transaction.</w:t>
      </w:r>
      <w:r w:rsidR="002C62F7">
        <w:rPr>
          <w:rFonts w:ascii="Arial" w:eastAsia="Times New Roman" w:hAnsi="Arial" w:cs="Arial"/>
          <w:color w:val="000000"/>
        </w:rPr>
        <w:t xml:space="preserve"> </w:t>
      </w:r>
    </w:p>
    <w:p w14:paraId="3B7E9A70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2F78DDD" w14:textId="090D6B22" w:rsidR="00B56838" w:rsidRDefault="00B56838" w:rsidP="00094A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6E09FC39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101E059B" w14:textId="77777777" w:rsidR="00B56838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DE597" wp14:editId="501DB775">
                <wp:simplePos x="0" y="0"/>
                <wp:positionH relativeFrom="column">
                  <wp:posOffset>1533525</wp:posOffset>
                </wp:positionH>
                <wp:positionV relativeFrom="paragraph">
                  <wp:posOffset>43180</wp:posOffset>
                </wp:positionV>
                <wp:extent cx="2933700" cy="2495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3D720" w14:textId="77777777" w:rsidR="00F13326" w:rsidRPr="00094A60" w:rsidRDefault="00B70460" w:rsidP="00F133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94A60">
                              <w:rPr>
                                <w:rFonts w:ascii="Arial" w:hAnsi="Arial" w:cs="Arial"/>
                                <w:i/>
                              </w:rPr>
                              <w:t>Table 1: Exchange rates - NGN per USD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B9A93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0.75pt;margin-top:3.4pt;width:231pt;height:19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" fillcolor="white [3201]" stroked="f" strokeweight=".5pt">
                <v:textbox>
                  <w:txbxContent>
                    <w:p w:rsidR="00F13326" w:rsidRPr="00094A60" w:rsidRDefault="00B70460" w:rsidP="00F13326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094A60">
                        <w:rPr>
                          <w:rFonts w:ascii="Arial" w:hAnsi="Arial" w:cs="Arial"/>
                          <w:i/>
                        </w:rPr>
                        <w:t>Table 1: Exchange rates - NGN per USD</w:t>
                      </w:r>
                    </w:p>
                  </w:txbxContent>
                </v:textbox>
              </v:shape>
            </w:pict>
          </mc:Fallback>
        </mc:AlternateContent>
      </w:r>
    </w:p>
    <w:p w14:paraId="6AC9CF44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5B215A3D" w14:textId="77777777" w:rsidR="00B56838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3E909" wp14:editId="59DFB677">
                <wp:simplePos x="0" y="0"/>
                <wp:positionH relativeFrom="column">
                  <wp:posOffset>1609090</wp:posOffset>
                </wp:positionH>
                <wp:positionV relativeFrom="paragraph">
                  <wp:posOffset>3648075</wp:posOffset>
                </wp:positionV>
                <wp:extent cx="2897505" cy="2495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DD9EA" w14:textId="77777777" w:rsidR="00F13326" w:rsidRPr="00094A60" w:rsidRDefault="00B70460" w:rsidP="00F133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94A60">
                              <w:rPr>
                                <w:rFonts w:ascii="Arial" w:hAnsi="Arial" w:cs="Arial"/>
                                <w:i/>
                              </w:rPr>
                              <w:t>Figure 1: Exchange rates - NGN per USD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B6654" id="Text Box 12" o:spid="_x0000_s1027" type="#_x0000_t202" style="position:absolute;left:0;text-align:left;margin-left:126.7pt;margin-top:287.25pt;width:228.15pt;height:19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" fillcolor="white [3201]" stroked="f" strokeweight=".5pt">
                <v:textbox>
                  <w:txbxContent>
                    <w:p w:rsidR="00F13326" w:rsidRPr="00094A60" w:rsidRDefault="00B70460" w:rsidP="00F13326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094A60">
                        <w:rPr>
                          <w:rFonts w:ascii="Arial" w:hAnsi="Arial" w:cs="Arial"/>
                          <w:i/>
                        </w:rPr>
                        <w:t>Figure 1: Exchange rates - NGN per USD</w:t>
                      </w:r>
                    </w:p>
                  </w:txbxContent>
                </v:textbox>
              </v:shape>
            </w:pict>
          </mc:Fallback>
        </mc:AlternateContent>
      </w:r>
      <w:r w:rsidR="00B56838">
        <w:rPr>
          <w:noProof/>
        </w:rPr>
        <w:drawing>
          <wp:inline distT="0" distB="0" distL="0" distR="0" wp14:anchorId="7667D5E8" wp14:editId="08862DF4">
            <wp:extent cx="5937877" cy="380047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93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FBDCA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A70A9E1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1F31D8C2" w14:textId="77777777" w:rsidR="00B56838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</w:rPr>
          <m:t xml:space="preserve">                                                       ARR=</m:t>
        </m:r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SR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Apr 17</m:t>
                    </m:r>
                  </m:sub>
                </m:sSub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 xml:space="preserve">-  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SR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Mar 23</m:t>
                    </m:r>
                  </m:sub>
                </m:sSub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SR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Mar 23</m:t>
                    </m:r>
                  </m:sub>
                </m:sSub>
              </m:den>
            </m:f>
          </m:e>
        </m:d>
        <m:r>
          <w:rPr>
            <w:rFonts w:ascii="Cambria Math" w:eastAsia="Times New Roman" w:hAnsi="Cambria Math" w:cs="Arial"/>
            <w:color w:val="000000"/>
            <w:sz w:val="24"/>
            <w:szCs w:val="24"/>
          </w:rPr>
          <m:t xml:space="preserve">100* 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</w:rPr>
              <m:t>365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</w:rPr>
              <m:t>n</m:t>
            </m:r>
          </m:den>
        </m:f>
        <m:r>
          <w:rPr>
            <w:rFonts w:ascii="Cambria Math" w:eastAsia="Times New Roman" w:hAnsi="Cambria Math" w:cs="Arial"/>
            <w:color w:val="000000"/>
            <w:sz w:val="24"/>
            <w:szCs w:val="24"/>
          </w:rPr>
          <m:t xml:space="preserve">   </m:t>
        </m:r>
      </m:oMath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</w:t>
      </w:r>
    </w:p>
    <w:p w14:paraId="565550E8" w14:textId="77777777" w:rsidR="00B56838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220DCA98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621FBCB" w14:textId="77777777" w:rsidR="00B56838" w:rsidRPr="00094A60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Arial"/>
              <w:color w:val="000000"/>
              <w:sz w:val="18"/>
              <w:szCs w:val="18"/>
            </w:rPr>
            <m:t>ARR=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18"/>
                      <w:szCs w:val="18"/>
                    </w:rPr>
                    <m:t>386.63-366.71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18"/>
                      <w:szCs w:val="18"/>
                    </w:rPr>
                    <m:t>366.71</m:t>
                  </m:r>
                </m:den>
              </m:f>
              <m:r>
                <w:rPr>
                  <w:rFonts w:ascii="Cambria Math" w:eastAsia="Times New Roman" w:hAnsi="Cambria Math" w:cs="Arial"/>
                  <w:color w:val="000000"/>
                  <w:sz w:val="18"/>
                  <w:szCs w:val="18"/>
                </w:rPr>
                <m:t xml:space="preserve"> </m:t>
              </m:r>
            </m:e>
          </m:d>
          <m:r>
            <w:rPr>
              <w:rFonts w:ascii="Cambria Math" w:eastAsia="Times New Roman" w:hAnsi="Cambria Math" w:cs="Arial"/>
              <w:color w:val="000000"/>
              <w:sz w:val="18"/>
              <w:szCs w:val="18"/>
            </w:rPr>
            <m:t xml:space="preserve"> 100*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sz w:val="18"/>
                  <w:szCs w:val="18"/>
                </w:rPr>
                <m:t>365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sz w:val="18"/>
                  <w:szCs w:val="18"/>
                </w:rPr>
                <m:t>25</m:t>
              </m:r>
            </m:den>
          </m:f>
          <m:r>
            <w:rPr>
              <w:rFonts w:ascii="Cambria Math" w:eastAsia="Times New Roman" w:hAnsi="Cambria Math" w:cs="Arial"/>
              <w:color w:val="000000"/>
              <w:sz w:val="18"/>
              <w:szCs w:val="18"/>
            </w:rPr>
            <m:t xml:space="preserve"> =79.31%</m:t>
          </m:r>
        </m:oMath>
      </m:oMathPara>
    </w:p>
    <w:p w14:paraId="60C554AA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D4DE743" w14:textId="77777777" w:rsidR="00B56838" w:rsidRDefault="000F6214" w:rsidP="00094A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E9DA91B" wp14:editId="216D44E1">
            <wp:extent cx="3543300" cy="11525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152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AD9F3B" w14:textId="77777777" w:rsidR="00B56838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83DEE" wp14:editId="096CDDA2">
                <wp:simplePos x="0" y="0"/>
                <wp:positionH relativeFrom="column">
                  <wp:posOffset>1983740</wp:posOffset>
                </wp:positionH>
                <wp:positionV relativeFrom="paragraph">
                  <wp:posOffset>33020</wp:posOffset>
                </wp:positionV>
                <wp:extent cx="2440305" cy="249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FF1F" w14:textId="77777777" w:rsidR="00B56838" w:rsidRPr="00094A60" w:rsidRDefault="00B70460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94A60">
                              <w:rPr>
                                <w:rFonts w:ascii="Arial" w:hAnsi="Arial" w:cs="Arial"/>
                                <w:i/>
                              </w:rPr>
                              <w:t>Table 2: Annualized Rate of 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E4D1F5" id="Text Box 6" o:spid="_x0000_s1028" type="#_x0000_t202" style="position:absolute;left:0;text-align:left;margin-left:156.2pt;margin-top:2.6pt;width:192.15pt;height:19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" fillcolor="white [3201]" stroked="f" strokeweight=".5pt">
                <v:textbox>
                  <w:txbxContent>
                    <w:p w:rsidR="00B56838" w:rsidRPr="00094A60" w:rsidRDefault="00B70460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094A60">
                        <w:rPr>
                          <w:rFonts w:ascii="Arial" w:hAnsi="Arial" w:cs="Arial"/>
                          <w:i/>
                        </w:rPr>
                        <w:t>Table 2: Annualized Rate of Return</w:t>
                      </w:r>
                    </w:p>
                  </w:txbxContent>
                </v:textbox>
              </v:shape>
            </w:pict>
          </mc:Fallback>
        </mc:AlternateContent>
      </w:r>
    </w:p>
    <w:p w14:paraId="1FC23C27" w14:textId="77777777" w:rsidR="00B56838" w:rsidRDefault="00B56838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798A73F7" w14:textId="77777777" w:rsidR="00AE03F2" w:rsidRPr="00D72808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2808">
        <w:rPr>
          <w:rFonts w:ascii="Arial" w:eastAsia="Times New Roman" w:hAnsi="Arial" w:cs="Arial"/>
          <w:color w:val="000000"/>
        </w:rPr>
        <w:t xml:space="preserve">Table 2 </w:t>
      </w:r>
      <w:r w:rsidR="000A167E" w:rsidRPr="00D72808">
        <w:rPr>
          <w:rFonts w:ascii="Arial" w:eastAsia="Times New Roman" w:hAnsi="Arial" w:cs="Arial"/>
          <w:color w:val="000000"/>
        </w:rPr>
        <w:t xml:space="preserve">contains a snapshot of the FX speculation project and </w:t>
      </w:r>
      <w:r w:rsidRPr="00D72808">
        <w:rPr>
          <w:rFonts w:ascii="Arial" w:eastAsia="Times New Roman" w:hAnsi="Arial" w:cs="Arial"/>
          <w:color w:val="000000"/>
        </w:rPr>
        <w:t xml:space="preserve">the annualized rate of return </w:t>
      </w:r>
      <w:r w:rsidR="000A167E" w:rsidRPr="00D72808">
        <w:rPr>
          <w:rFonts w:ascii="Arial" w:eastAsia="Times New Roman" w:hAnsi="Arial" w:cs="Arial"/>
          <w:color w:val="000000"/>
        </w:rPr>
        <w:t>earned from the investment.</w:t>
      </w:r>
      <w:r w:rsidRPr="00D72808">
        <w:rPr>
          <w:rFonts w:ascii="Arial" w:eastAsia="Times New Roman" w:hAnsi="Arial" w:cs="Arial"/>
          <w:color w:val="000000"/>
        </w:rPr>
        <w:t xml:space="preserve"> A look at the table shows that the decision to go short on the N</w:t>
      </w:r>
      <w:r w:rsidR="00493182">
        <w:rPr>
          <w:rFonts w:ascii="Arial" w:eastAsia="Times New Roman" w:hAnsi="Arial" w:cs="Arial"/>
          <w:color w:val="000000"/>
        </w:rPr>
        <w:t>GN</w:t>
      </w:r>
      <w:r w:rsidRPr="00D72808">
        <w:rPr>
          <w:rFonts w:ascii="Arial" w:eastAsia="Times New Roman" w:hAnsi="Arial" w:cs="Arial"/>
          <w:color w:val="000000"/>
        </w:rPr>
        <w:t xml:space="preserve"> was appropriate. </w:t>
      </w:r>
      <w:r w:rsidR="00827093" w:rsidRPr="00D72808">
        <w:rPr>
          <w:rFonts w:ascii="Arial" w:eastAsia="Times New Roman" w:hAnsi="Arial" w:cs="Arial"/>
          <w:color w:val="000000"/>
        </w:rPr>
        <w:t>Naira, which opened at USD/N</w:t>
      </w:r>
      <w:r w:rsidR="002C62F7">
        <w:rPr>
          <w:rFonts w:ascii="Arial" w:eastAsia="Times New Roman" w:hAnsi="Arial" w:cs="Arial"/>
          <w:color w:val="000000"/>
        </w:rPr>
        <w:t>GN</w:t>
      </w:r>
      <w:r w:rsidR="00827093" w:rsidRPr="00D72808">
        <w:rPr>
          <w:rFonts w:ascii="Arial" w:eastAsia="Times New Roman" w:hAnsi="Arial" w:cs="Arial"/>
          <w:color w:val="000000"/>
        </w:rPr>
        <w:t>366.71</w:t>
      </w:r>
      <w:r w:rsidR="00D72808">
        <w:rPr>
          <w:rFonts w:ascii="Arial" w:eastAsia="Times New Roman" w:hAnsi="Arial" w:cs="Arial"/>
          <w:color w:val="000000"/>
        </w:rPr>
        <w:t xml:space="preserve"> at the start of the project</w:t>
      </w:r>
      <w:r w:rsidR="00827093" w:rsidRPr="00D72808">
        <w:rPr>
          <w:rFonts w:ascii="Arial" w:eastAsia="Times New Roman" w:hAnsi="Arial" w:cs="Arial"/>
          <w:color w:val="000000"/>
        </w:rPr>
        <w:t>, came under immense pressure during the period resulting in a 5.4% depreciation to close at USD/N</w:t>
      </w:r>
      <w:r w:rsidR="002C62F7">
        <w:rPr>
          <w:rFonts w:ascii="Arial" w:eastAsia="Times New Roman" w:hAnsi="Arial" w:cs="Arial"/>
          <w:color w:val="000000"/>
        </w:rPr>
        <w:t>GN</w:t>
      </w:r>
      <w:r w:rsidR="00827093" w:rsidRPr="00D72808">
        <w:rPr>
          <w:rFonts w:ascii="Arial" w:eastAsia="Times New Roman" w:hAnsi="Arial" w:cs="Arial"/>
          <w:color w:val="000000"/>
        </w:rPr>
        <w:t>3</w:t>
      </w:r>
      <w:r w:rsidR="00D72808" w:rsidRPr="00D72808">
        <w:rPr>
          <w:rFonts w:ascii="Arial" w:eastAsia="Times New Roman" w:hAnsi="Arial" w:cs="Arial"/>
          <w:color w:val="000000"/>
        </w:rPr>
        <w:t>8</w:t>
      </w:r>
      <w:r w:rsidR="00827093" w:rsidRPr="00D72808">
        <w:rPr>
          <w:rFonts w:ascii="Arial" w:eastAsia="Times New Roman" w:hAnsi="Arial" w:cs="Arial"/>
          <w:color w:val="000000"/>
        </w:rPr>
        <w:t>6.</w:t>
      </w:r>
      <w:r w:rsidR="00D72808" w:rsidRPr="00D72808">
        <w:rPr>
          <w:rFonts w:ascii="Arial" w:eastAsia="Times New Roman" w:hAnsi="Arial" w:cs="Arial"/>
          <w:color w:val="000000"/>
        </w:rPr>
        <w:t>63</w:t>
      </w:r>
      <w:r w:rsidR="00827093" w:rsidRPr="00D72808">
        <w:rPr>
          <w:rFonts w:ascii="Arial" w:eastAsia="Times New Roman" w:hAnsi="Arial" w:cs="Arial"/>
          <w:color w:val="000000"/>
        </w:rPr>
        <w:t xml:space="preserve">. </w:t>
      </w:r>
      <w:r w:rsidRPr="00D72808">
        <w:rPr>
          <w:rFonts w:ascii="Arial" w:eastAsia="Times New Roman" w:hAnsi="Arial" w:cs="Arial"/>
          <w:color w:val="000000"/>
        </w:rPr>
        <w:t>The short position yielded a profi</w:t>
      </w:r>
      <w:r w:rsidR="006F4206">
        <w:rPr>
          <w:rFonts w:ascii="Arial" w:eastAsia="Times New Roman" w:hAnsi="Arial" w:cs="Arial"/>
          <w:color w:val="000000"/>
        </w:rPr>
        <w:t>t of 19.92 million Naira or USD</w:t>
      </w:r>
      <w:r w:rsidRPr="00D72808">
        <w:rPr>
          <w:rFonts w:ascii="Arial" w:eastAsia="Times New Roman" w:hAnsi="Arial" w:cs="Arial"/>
          <w:color w:val="000000"/>
        </w:rPr>
        <w:t>51</w:t>
      </w:r>
      <w:r w:rsidR="006F4206" w:rsidRPr="00D72808">
        <w:rPr>
          <w:rFonts w:ascii="Arial" w:eastAsia="Times New Roman" w:hAnsi="Arial" w:cs="Arial"/>
          <w:color w:val="000000"/>
        </w:rPr>
        <w:t>, 522.13</w:t>
      </w:r>
      <w:r w:rsidRPr="00D72808">
        <w:rPr>
          <w:rFonts w:ascii="Arial" w:eastAsia="Times New Roman" w:hAnsi="Arial" w:cs="Arial"/>
          <w:color w:val="000000"/>
        </w:rPr>
        <w:t xml:space="preserve"> for 2</w:t>
      </w:r>
      <w:r w:rsidR="0034408F">
        <w:rPr>
          <w:rFonts w:ascii="Arial" w:eastAsia="Times New Roman" w:hAnsi="Arial" w:cs="Arial"/>
          <w:color w:val="000000"/>
        </w:rPr>
        <w:t>6</w:t>
      </w:r>
      <w:r w:rsidRPr="00D72808">
        <w:rPr>
          <w:rFonts w:ascii="Arial" w:eastAsia="Times New Roman" w:hAnsi="Arial" w:cs="Arial"/>
          <w:color w:val="000000"/>
        </w:rPr>
        <w:t xml:space="preserve"> days</w:t>
      </w:r>
      <w:r w:rsidR="00493182">
        <w:rPr>
          <w:rFonts w:ascii="Arial" w:eastAsia="Times New Roman" w:hAnsi="Arial" w:cs="Arial"/>
          <w:color w:val="000000"/>
        </w:rPr>
        <w:t xml:space="preserve"> resulting </w:t>
      </w:r>
      <w:r w:rsidRPr="00D72808">
        <w:rPr>
          <w:rFonts w:ascii="Arial" w:eastAsia="Times New Roman" w:hAnsi="Arial" w:cs="Arial"/>
          <w:color w:val="000000"/>
        </w:rPr>
        <w:t>in an annualized rate of return of 7</w:t>
      </w:r>
      <w:r w:rsidR="000F6214">
        <w:rPr>
          <w:rFonts w:ascii="Arial" w:eastAsia="Times New Roman" w:hAnsi="Arial" w:cs="Arial"/>
          <w:color w:val="000000"/>
        </w:rPr>
        <w:t>9.31</w:t>
      </w:r>
      <w:r w:rsidRPr="00D72808">
        <w:rPr>
          <w:rFonts w:ascii="Arial" w:eastAsia="Times New Roman" w:hAnsi="Arial" w:cs="Arial"/>
          <w:color w:val="000000"/>
        </w:rPr>
        <w:t xml:space="preserve">%.  </w:t>
      </w:r>
    </w:p>
    <w:p w14:paraId="4F8FC13B" w14:textId="77777777" w:rsidR="000A167E" w:rsidRDefault="000A167E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58F4C548" w14:textId="77777777" w:rsidR="00D72808" w:rsidRPr="00493182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493182">
        <w:rPr>
          <w:rFonts w:ascii="Arial" w:eastAsia="Times New Roman" w:hAnsi="Arial" w:cs="Arial"/>
          <w:b/>
          <w:color w:val="000000"/>
        </w:rPr>
        <w:t xml:space="preserve">Possible Reasons for Naira </w:t>
      </w:r>
      <w:r w:rsidR="002C62F7" w:rsidRPr="00493182">
        <w:rPr>
          <w:rFonts w:ascii="Arial" w:eastAsia="Times New Roman" w:hAnsi="Arial" w:cs="Arial"/>
          <w:b/>
          <w:color w:val="000000"/>
        </w:rPr>
        <w:t>Fluctuation</w:t>
      </w:r>
    </w:p>
    <w:p w14:paraId="4141349F" w14:textId="77777777" w:rsidR="003067C5" w:rsidRPr="00A72336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72336">
        <w:rPr>
          <w:rFonts w:ascii="Arial" w:eastAsia="Times New Roman" w:hAnsi="Arial" w:cs="Arial"/>
          <w:color w:val="000000"/>
        </w:rPr>
        <w:t xml:space="preserve">The performance of the Nigerian currency is intricately tied to movement in </w:t>
      </w:r>
      <w:r w:rsidR="007879BE" w:rsidRPr="00A72336">
        <w:rPr>
          <w:rFonts w:ascii="Arial" w:eastAsia="Times New Roman" w:hAnsi="Arial" w:cs="Arial"/>
          <w:color w:val="000000"/>
        </w:rPr>
        <w:t xml:space="preserve">global </w:t>
      </w:r>
      <w:r w:rsidRPr="00A72336">
        <w:rPr>
          <w:rFonts w:ascii="Arial" w:eastAsia="Times New Roman" w:hAnsi="Arial" w:cs="Arial"/>
          <w:color w:val="000000"/>
        </w:rPr>
        <w:t xml:space="preserve">oil prices. Nigeria depends </w:t>
      </w:r>
      <w:r w:rsidR="007879BE" w:rsidRPr="00A72336">
        <w:rPr>
          <w:rFonts w:ascii="Arial" w:eastAsia="Times New Roman" w:hAnsi="Arial" w:cs="Arial"/>
          <w:color w:val="000000"/>
        </w:rPr>
        <w:t xml:space="preserve">on the sales of crude oil </w:t>
      </w:r>
      <w:r w:rsidR="002C62F7" w:rsidRPr="00A72336">
        <w:rPr>
          <w:rFonts w:ascii="Arial" w:eastAsia="Times New Roman" w:hAnsi="Arial" w:cs="Arial"/>
          <w:color w:val="000000"/>
        </w:rPr>
        <w:t xml:space="preserve">to meet </w:t>
      </w:r>
      <w:r w:rsidR="007879BE" w:rsidRPr="00A72336">
        <w:rPr>
          <w:rFonts w:ascii="Arial" w:eastAsia="Times New Roman" w:hAnsi="Arial" w:cs="Arial"/>
          <w:color w:val="000000"/>
        </w:rPr>
        <w:t xml:space="preserve">85% of its foreign exchange needs. </w:t>
      </w:r>
      <w:r w:rsidRPr="00A72336">
        <w:rPr>
          <w:rFonts w:ascii="Arial" w:eastAsia="Times New Roman" w:hAnsi="Arial" w:cs="Arial"/>
          <w:color w:val="000000"/>
        </w:rPr>
        <w:t xml:space="preserve"> </w:t>
      </w:r>
      <w:r w:rsidR="00027BE9" w:rsidRPr="00A72336">
        <w:rPr>
          <w:rFonts w:ascii="Arial" w:eastAsia="Times New Roman" w:hAnsi="Arial" w:cs="Arial"/>
          <w:color w:val="000000"/>
        </w:rPr>
        <w:t>Therefore at a time of significant oil supply glut occasioned by the rift between Russia and Saudi Arabi</w:t>
      </w:r>
      <w:r w:rsidRPr="00A72336">
        <w:rPr>
          <w:rFonts w:ascii="Arial" w:eastAsia="Times New Roman" w:hAnsi="Arial" w:cs="Arial"/>
          <w:color w:val="000000"/>
        </w:rPr>
        <w:t xml:space="preserve">a </w:t>
      </w:r>
      <w:r w:rsidR="002C62F7" w:rsidRPr="00A72336">
        <w:rPr>
          <w:rFonts w:ascii="Arial" w:eastAsia="Times New Roman" w:hAnsi="Arial" w:cs="Arial"/>
          <w:color w:val="000000"/>
        </w:rPr>
        <w:t xml:space="preserve">and global inactivity, </w:t>
      </w:r>
      <w:r w:rsidRPr="00A72336">
        <w:rPr>
          <w:rFonts w:ascii="Arial" w:eastAsia="Times New Roman" w:hAnsi="Arial" w:cs="Arial"/>
          <w:color w:val="000000"/>
        </w:rPr>
        <w:t>it was almost inevitable that Naira would be negatively impacted.</w:t>
      </w:r>
    </w:p>
    <w:p w14:paraId="7D8C8CF4" w14:textId="77777777" w:rsidR="003067C5" w:rsidRPr="00A72336" w:rsidRDefault="003067C5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4085AA3" w14:textId="77777777" w:rsidR="008A06D8" w:rsidRPr="00A72336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72336">
        <w:rPr>
          <w:rFonts w:ascii="Arial" w:eastAsia="Times New Roman" w:hAnsi="Arial" w:cs="Arial"/>
          <w:color w:val="000000"/>
        </w:rPr>
        <w:t>Another potential cause of the fluctuation of the Naira is that the country's foreign reserves, which stood at</w:t>
      </w:r>
      <w:r w:rsidR="00FC637E" w:rsidRPr="00A72336">
        <w:rPr>
          <w:rFonts w:ascii="Arial" w:eastAsia="Times New Roman" w:hAnsi="Arial" w:cs="Arial"/>
          <w:color w:val="000000"/>
        </w:rPr>
        <w:t xml:space="preserve"> $42</w:t>
      </w:r>
      <w:r w:rsidRPr="00A72336">
        <w:rPr>
          <w:rFonts w:ascii="Arial" w:eastAsia="Times New Roman" w:hAnsi="Arial" w:cs="Arial"/>
          <w:color w:val="000000"/>
        </w:rPr>
        <w:t xml:space="preserve"> </w:t>
      </w:r>
      <w:r w:rsidR="00FC637E" w:rsidRPr="00A72336">
        <w:rPr>
          <w:rFonts w:ascii="Arial" w:eastAsia="Times New Roman" w:hAnsi="Arial" w:cs="Arial"/>
          <w:color w:val="000000"/>
        </w:rPr>
        <w:t xml:space="preserve">Billion about six months ago, </w:t>
      </w:r>
      <w:r w:rsidRPr="00A72336">
        <w:rPr>
          <w:rFonts w:ascii="Arial" w:eastAsia="Times New Roman" w:hAnsi="Arial" w:cs="Arial"/>
          <w:color w:val="000000"/>
        </w:rPr>
        <w:t>ha</w:t>
      </w:r>
      <w:r w:rsidR="00FC637E" w:rsidRPr="00A72336">
        <w:rPr>
          <w:rFonts w:ascii="Arial" w:eastAsia="Times New Roman" w:hAnsi="Arial" w:cs="Arial"/>
          <w:color w:val="000000"/>
        </w:rPr>
        <w:t>d</w:t>
      </w:r>
      <w:r w:rsidRPr="00A72336">
        <w:rPr>
          <w:rFonts w:ascii="Arial" w:eastAsia="Times New Roman" w:hAnsi="Arial" w:cs="Arial"/>
          <w:color w:val="000000"/>
        </w:rPr>
        <w:t xml:space="preserve"> plummeted to </w:t>
      </w:r>
      <w:r w:rsidR="00FC637E" w:rsidRPr="00A72336">
        <w:rPr>
          <w:rFonts w:ascii="Arial" w:eastAsia="Times New Roman" w:hAnsi="Arial" w:cs="Arial"/>
          <w:color w:val="000000"/>
        </w:rPr>
        <w:t>$ 36 billion by the end of March</w:t>
      </w:r>
      <w:r w:rsidR="002547F9" w:rsidRPr="00A72336">
        <w:rPr>
          <w:rFonts w:ascii="Arial" w:eastAsia="Times New Roman" w:hAnsi="Arial" w:cs="Arial"/>
          <w:color w:val="000000"/>
        </w:rPr>
        <w:t>, as shown in the chart below</w:t>
      </w:r>
      <w:r w:rsidR="00FC637E" w:rsidRPr="00A72336">
        <w:rPr>
          <w:rFonts w:ascii="Arial" w:eastAsia="Times New Roman" w:hAnsi="Arial" w:cs="Arial"/>
          <w:color w:val="000000"/>
        </w:rPr>
        <w:t xml:space="preserve">. </w:t>
      </w:r>
      <w:r w:rsidRPr="00A72336">
        <w:rPr>
          <w:rFonts w:ascii="Arial" w:eastAsia="Times New Roman" w:hAnsi="Arial" w:cs="Arial"/>
          <w:color w:val="000000"/>
        </w:rPr>
        <w:t xml:space="preserve">This amount is barely enough to cover seven months of imports. Consequently, the CBN, who is the major supplier of </w:t>
      </w:r>
      <w:r w:rsidR="002547F9" w:rsidRPr="00A72336">
        <w:rPr>
          <w:rFonts w:ascii="Arial" w:eastAsia="Times New Roman" w:hAnsi="Arial" w:cs="Arial"/>
          <w:color w:val="000000"/>
        </w:rPr>
        <w:t>foreign exchange, h</w:t>
      </w:r>
      <w:r w:rsidRPr="00A72336">
        <w:rPr>
          <w:rFonts w:ascii="Arial" w:eastAsia="Times New Roman" w:hAnsi="Arial" w:cs="Arial"/>
          <w:color w:val="000000"/>
        </w:rPr>
        <w:t xml:space="preserve">as not able to provide the needed </w:t>
      </w:r>
      <w:r w:rsidR="002547F9" w:rsidRPr="00A72336">
        <w:rPr>
          <w:rFonts w:ascii="Arial" w:eastAsia="Times New Roman" w:hAnsi="Arial" w:cs="Arial"/>
          <w:color w:val="000000"/>
        </w:rPr>
        <w:t>FOREX</w:t>
      </w:r>
      <w:r w:rsidRPr="00A72336">
        <w:rPr>
          <w:rFonts w:ascii="Arial" w:eastAsia="Times New Roman" w:hAnsi="Arial" w:cs="Arial"/>
          <w:color w:val="000000"/>
        </w:rPr>
        <w:t xml:space="preserve"> to end-users due to declining reserves</w:t>
      </w:r>
      <w:r w:rsidR="005B6EDD" w:rsidRPr="00A72336">
        <w:rPr>
          <w:rFonts w:ascii="Arial" w:eastAsia="Times New Roman" w:hAnsi="Arial" w:cs="Arial"/>
          <w:color w:val="000000"/>
        </w:rPr>
        <w:t xml:space="preserve"> causing a spillover in </w:t>
      </w:r>
      <w:r w:rsidRPr="00A72336">
        <w:rPr>
          <w:rFonts w:ascii="Arial" w:eastAsia="Times New Roman" w:hAnsi="Arial" w:cs="Arial"/>
          <w:color w:val="000000"/>
        </w:rPr>
        <w:t xml:space="preserve">demand to </w:t>
      </w:r>
      <w:r w:rsidR="005B6EDD" w:rsidRPr="00A72336">
        <w:rPr>
          <w:rFonts w:ascii="Arial" w:eastAsia="Times New Roman" w:hAnsi="Arial" w:cs="Arial"/>
          <w:color w:val="000000"/>
        </w:rPr>
        <w:t xml:space="preserve">the </w:t>
      </w:r>
      <w:r w:rsidRPr="00A72336">
        <w:rPr>
          <w:rFonts w:ascii="Arial" w:eastAsia="Times New Roman" w:hAnsi="Arial" w:cs="Arial"/>
          <w:color w:val="000000"/>
        </w:rPr>
        <w:t>parallel market, which is mostly unregulated.</w:t>
      </w:r>
    </w:p>
    <w:p w14:paraId="1F89EB92" w14:textId="77777777" w:rsidR="008A06D8" w:rsidRDefault="008A06D8" w:rsidP="00094A60">
      <w:pPr>
        <w:spacing w:after="0" w:line="240" w:lineRule="auto"/>
        <w:jc w:val="both"/>
      </w:pPr>
    </w:p>
    <w:p w14:paraId="091EF70A" w14:textId="77777777" w:rsidR="00CC5C03" w:rsidRDefault="00B70460" w:rsidP="00094A60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307F413B" wp14:editId="1CF642D0">
            <wp:extent cx="5943600" cy="21844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208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FA8D" w14:textId="77777777" w:rsidR="00CC5C03" w:rsidRPr="00F27849" w:rsidRDefault="00B70460" w:rsidP="00094A60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color w:val="000000"/>
        </w:rPr>
      </w:pPr>
      <w:r w:rsidRPr="00F27849">
        <w:rPr>
          <w:rFonts w:ascii="Arial" w:eastAsia="Times New Roman" w:hAnsi="Arial" w:cs="Arial"/>
          <w:i/>
          <w:color w:val="000000"/>
        </w:rPr>
        <w:t>Figure 2: 180 days Movement in Foreign Reserves</w:t>
      </w:r>
    </w:p>
    <w:p w14:paraId="5B53A460" w14:textId="77777777" w:rsidR="00D50670" w:rsidRPr="001A7B30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7B30">
        <w:rPr>
          <w:rFonts w:ascii="Arial" w:eastAsia="Times New Roman" w:hAnsi="Arial" w:cs="Arial"/>
          <w:color w:val="000000"/>
        </w:rPr>
        <w:t xml:space="preserve">The huge fluctuation </w:t>
      </w:r>
      <w:r w:rsidR="00A24092" w:rsidRPr="001A7B30">
        <w:rPr>
          <w:rFonts w:ascii="Arial" w:eastAsia="Times New Roman" w:hAnsi="Arial" w:cs="Arial"/>
          <w:color w:val="000000"/>
        </w:rPr>
        <w:t>in the value of USD/N</w:t>
      </w:r>
      <w:r w:rsidR="00524BC3" w:rsidRPr="001A7B30">
        <w:rPr>
          <w:rFonts w:ascii="Arial" w:eastAsia="Times New Roman" w:hAnsi="Arial" w:cs="Arial"/>
          <w:color w:val="000000"/>
        </w:rPr>
        <w:t>GN</w:t>
      </w:r>
      <w:r w:rsidR="00A24092" w:rsidRPr="001A7B30">
        <w:rPr>
          <w:rFonts w:ascii="Arial" w:eastAsia="Times New Roman" w:hAnsi="Arial" w:cs="Arial"/>
          <w:color w:val="000000"/>
        </w:rPr>
        <w:t xml:space="preserve"> can also be attributed to a </w:t>
      </w:r>
      <w:r w:rsidR="005B6EDD" w:rsidRPr="001A7B30">
        <w:rPr>
          <w:rFonts w:ascii="Arial" w:eastAsia="Times New Roman" w:hAnsi="Arial" w:cs="Arial"/>
          <w:color w:val="000000"/>
        </w:rPr>
        <w:t xml:space="preserve">Central Bank of Nigeria </w:t>
      </w:r>
      <w:r w:rsidR="00A24092" w:rsidRPr="001A7B30">
        <w:rPr>
          <w:rFonts w:ascii="Arial" w:eastAsia="Times New Roman" w:hAnsi="Arial" w:cs="Arial"/>
          <w:color w:val="000000"/>
        </w:rPr>
        <w:t xml:space="preserve">circular </w:t>
      </w:r>
      <w:r w:rsidR="005B6EDD" w:rsidRPr="001A7B30">
        <w:rPr>
          <w:rFonts w:ascii="Arial" w:eastAsia="Times New Roman" w:hAnsi="Arial" w:cs="Arial"/>
          <w:color w:val="000000"/>
        </w:rPr>
        <w:t xml:space="preserve">dated </w:t>
      </w:r>
      <w:r w:rsidR="003E2C03">
        <w:rPr>
          <w:rFonts w:ascii="Arial" w:eastAsia="Times New Roman" w:hAnsi="Arial" w:cs="Arial"/>
          <w:color w:val="000000"/>
        </w:rPr>
        <w:t>March 3</w:t>
      </w:r>
      <w:r w:rsidR="00A24092" w:rsidRPr="001A7B30">
        <w:rPr>
          <w:rFonts w:ascii="Arial" w:eastAsia="Times New Roman" w:hAnsi="Arial" w:cs="Arial"/>
          <w:color w:val="000000"/>
        </w:rPr>
        <w:t>1, directing banks to sell FOREX to qualified end-users at N</w:t>
      </w:r>
      <w:r w:rsidR="00524BC3" w:rsidRPr="001A7B30">
        <w:rPr>
          <w:rFonts w:ascii="Arial" w:eastAsia="Times New Roman" w:hAnsi="Arial" w:cs="Arial"/>
          <w:color w:val="000000"/>
        </w:rPr>
        <w:t xml:space="preserve">GN </w:t>
      </w:r>
      <w:r w:rsidR="00A24092" w:rsidRPr="001A7B30">
        <w:rPr>
          <w:rFonts w:ascii="Arial" w:eastAsia="Times New Roman" w:hAnsi="Arial" w:cs="Arial"/>
          <w:color w:val="000000"/>
        </w:rPr>
        <w:t>380 to a dollar as against N</w:t>
      </w:r>
      <w:r w:rsidR="00524BC3" w:rsidRPr="001A7B30">
        <w:rPr>
          <w:rFonts w:ascii="Arial" w:eastAsia="Times New Roman" w:hAnsi="Arial" w:cs="Arial"/>
          <w:color w:val="000000"/>
        </w:rPr>
        <w:t>GN</w:t>
      </w:r>
      <w:r w:rsidR="00A24092" w:rsidRPr="001A7B30">
        <w:rPr>
          <w:rFonts w:ascii="Arial" w:eastAsia="Times New Roman" w:hAnsi="Arial" w:cs="Arial"/>
          <w:color w:val="000000"/>
        </w:rPr>
        <w:t xml:space="preserve"> 363</w:t>
      </w:r>
      <w:r w:rsidR="00870CB2">
        <w:rPr>
          <w:rFonts w:ascii="Arial" w:eastAsia="Times New Roman" w:hAnsi="Arial" w:cs="Arial"/>
          <w:color w:val="000000"/>
        </w:rPr>
        <w:t xml:space="preserve"> (</w:t>
      </w:r>
      <w:r w:rsidR="00870CB2" w:rsidRPr="00870CB2">
        <w:rPr>
          <w:rFonts w:ascii="Arial" w:eastAsia="Times New Roman" w:hAnsi="Arial" w:cs="Arial"/>
          <w:color w:val="000000"/>
        </w:rPr>
        <w:t>Proshare, 2020)</w:t>
      </w:r>
      <w:r w:rsidR="00A24092" w:rsidRPr="001A7B30">
        <w:rPr>
          <w:rFonts w:ascii="Arial" w:eastAsia="Times New Roman" w:hAnsi="Arial" w:cs="Arial"/>
          <w:color w:val="000000"/>
        </w:rPr>
        <w:t xml:space="preserve">. This announcement </w:t>
      </w:r>
      <w:r w:rsidR="00B12846" w:rsidRPr="001A7B30">
        <w:rPr>
          <w:rFonts w:ascii="Arial" w:eastAsia="Times New Roman" w:hAnsi="Arial" w:cs="Arial"/>
          <w:color w:val="000000"/>
        </w:rPr>
        <w:t xml:space="preserve">of a technical depreciation </w:t>
      </w:r>
      <w:r w:rsidR="005B6EDD" w:rsidRPr="001A7B30">
        <w:rPr>
          <w:rFonts w:ascii="Arial" w:eastAsia="Times New Roman" w:hAnsi="Arial" w:cs="Arial"/>
          <w:color w:val="000000"/>
        </w:rPr>
        <w:t>s</w:t>
      </w:r>
      <w:r w:rsidR="00A24092" w:rsidRPr="001A7B30">
        <w:rPr>
          <w:rFonts w:ascii="Arial" w:eastAsia="Times New Roman" w:hAnsi="Arial" w:cs="Arial"/>
          <w:color w:val="000000"/>
        </w:rPr>
        <w:t xml:space="preserve">ent panic into </w:t>
      </w:r>
      <w:r w:rsidR="00B12846" w:rsidRPr="001A7B30">
        <w:rPr>
          <w:rFonts w:ascii="Arial" w:eastAsia="Times New Roman" w:hAnsi="Arial" w:cs="Arial"/>
          <w:color w:val="000000"/>
        </w:rPr>
        <w:t xml:space="preserve">the financial </w:t>
      </w:r>
      <w:r w:rsidR="005B6EDD" w:rsidRPr="001A7B30">
        <w:rPr>
          <w:rFonts w:ascii="Arial" w:eastAsia="Times New Roman" w:hAnsi="Arial" w:cs="Arial"/>
          <w:color w:val="000000"/>
        </w:rPr>
        <w:t>market</w:t>
      </w:r>
      <w:r w:rsidR="00B12846" w:rsidRPr="001A7B30">
        <w:rPr>
          <w:rFonts w:ascii="Arial" w:eastAsia="Times New Roman" w:hAnsi="Arial" w:cs="Arial"/>
          <w:color w:val="000000"/>
        </w:rPr>
        <w:t xml:space="preserve"> as people scrambled to frontload their FX obligation</w:t>
      </w:r>
      <w:r w:rsidR="005B6EDD" w:rsidRPr="001A7B30">
        <w:rPr>
          <w:rFonts w:ascii="Arial" w:eastAsia="Times New Roman" w:hAnsi="Arial" w:cs="Arial"/>
          <w:color w:val="000000"/>
        </w:rPr>
        <w:t>s</w:t>
      </w:r>
      <w:r w:rsidR="00B12846" w:rsidRPr="001A7B30">
        <w:rPr>
          <w:rFonts w:ascii="Arial" w:eastAsia="Times New Roman" w:hAnsi="Arial" w:cs="Arial"/>
          <w:color w:val="000000"/>
        </w:rPr>
        <w:t xml:space="preserve">. </w:t>
      </w:r>
    </w:p>
    <w:p w14:paraId="32D5D6B6" w14:textId="77777777" w:rsidR="00D50670" w:rsidRDefault="00D5067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509AC3CE" w14:textId="77777777" w:rsidR="000E40E7" w:rsidRPr="001A7B30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7B30">
        <w:rPr>
          <w:rFonts w:ascii="Arial" w:eastAsia="Times New Roman" w:hAnsi="Arial" w:cs="Arial"/>
          <w:color w:val="000000"/>
        </w:rPr>
        <w:t xml:space="preserve">Also, the Nigerian government </w:t>
      </w:r>
      <w:r w:rsidR="002263B2">
        <w:rPr>
          <w:rFonts w:ascii="Arial" w:eastAsia="Times New Roman" w:hAnsi="Arial" w:cs="Arial"/>
          <w:color w:val="000000"/>
        </w:rPr>
        <w:t>suspended</w:t>
      </w:r>
      <w:r w:rsidRPr="001A7B30">
        <w:rPr>
          <w:rFonts w:ascii="Arial" w:eastAsia="Times New Roman" w:hAnsi="Arial" w:cs="Arial"/>
          <w:color w:val="000000"/>
        </w:rPr>
        <w:t xml:space="preserve"> its proposed $22.</w:t>
      </w:r>
      <w:r>
        <w:rPr>
          <w:rFonts w:ascii="Arial" w:eastAsia="Times New Roman" w:hAnsi="Arial" w:cs="Arial"/>
          <w:color w:val="000000"/>
        </w:rPr>
        <w:t>7</w:t>
      </w:r>
      <w:r w:rsidRPr="001A7B30">
        <w:rPr>
          <w:rFonts w:ascii="Arial" w:eastAsia="Times New Roman" w:hAnsi="Arial" w:cs="Arial"/>
          <w:color w:val="000000"/>
        </w:rPr>
        <w:t xml:space="preserve"> billion </w:t>
      </w:r>
      <w:r w:rsidR="00827DFB" w:rsidRPr="001A7B30">
        <w:rPr>
          <w:rFonts w:ascii="Arial" w:eastAsia="Times New Roman" w:hAnsi="Arial" w:cs="Arial"/>
          <w:color w:val="000000"/>
        </w:rPr>
        <w:t>loan</w:t>
      </w:r>
      <w:r w:rsidRPr="001A7B30">
        <w:rPr>
          <w:rFonts w:ascii="Arial" w:eastAsia="Times New Roman" w:hAnsi="Arial" w:cs="Arial"/>
          <w:color w:val="000000"/>
        </w:rPr>
        <w:t xml:space="preserve"> from the World Bank, IMF, Islamic Bank of Saudi Arabia, and the Chinese government</w:t>
      </w:r>
      <w:r w:rsidR="00827DFB" w:rsidRPr="001A7B30">
        <w:rPr>
          <w:rFonts w:ascii="Arial" w:eastAsia="Times New Roman" w:hAnsi="Arial" w:cs="Arial"/>
          <w:color w:val="000000"/>
        </w:rPr>
        <w:t xml:space="preserve"> earlier in February</w:t>
      </w:r>
      <w:r w:rsidR="002263B2">
        <w:rPr>
          <w:rFonts w:ascii="Arial" w:eastAsia="Times New Roman" w:hAnsi="Arial" w:cs="Arial"/>
          <w:color w:val="000000"/>
        </w:rPr>
        <w:t xml:space="preserve"> (</w:t>
      </w:r>
      <w:r w:rsidR="002263B2" w:rsidRPr="002263B2">
        <w:rPr>
          <w:rFonts w:ascii="Arial" w:eastAsia="Times New Roman" w:hAnsi="Arial" w:cs="Arial"/>
          <w:color w:val="000000"/>
        </w:rPr>
        <w:t xml:space="preserve">Baiyewu, &amp; </w:t>
      </w:r>
      <w:r w:rsidR="002263B2" w:rsidRPr="002263B2">
        <w:rPr>
          <w:rFonts w:ascii="Arial" w:eastAsia="Times New Roman" w:hAnsi="Arial" w:cs="Arial"/>
          <w:color w:val="000000"/>
        </w:rPr>
        <w:lastRenderedPageBreak/>
        <w:t>Onuba, 2020)</w:t>
      </w:r>
      <w:r w:rsidRPr="001A7B30">
        <w:rPr>
          <w:rFonts w:ascii="Arial" w:eastAsia="Times New Roman" w:hAnsi="Arial" w:cs="Arial"/>
          <w:color w:val="000000"/>
        </w:rPr>
        <w:t>. The loan was expected to help shore up the value of the N</w:t>
      </w:r>
      <w:r w:rsidR="00524BC3" w:rsidRPr="001A7B30">
        <w:rPr>
          <w:rFonts w:ascii="Arial" w:eastAsia="Times New Roman" w:hAnsi="Arial" w:cs="Arial"/>
          <w:color w:val="000000"/>
        </w:rPr>
        <w:t>GN</w:t>
      </w:r>
      <w:r w:rsidRPr="001A7B30">
        <w:rPr>
          <w:rFonts w:ascii="Arial" w:eastAsia="Times New Roman" w:hAnsi="Arial" w:cs="Arial"/>
          <w:color w:val="000000"/>
        </w:rPr>
        <w:t xml:space="preserve"> and help infrastructural development in the country.</w:t>
      </w:r>
      <w:r w:rsidR="00146FC6" w:rsidRPr="001A7B30">
        <w:rPr>
          <w:rFonts w:ascii="Arial" w:eastAsia="Times New Roman" w:hAnsi="Arial" w:cs="Arial"/>
          <w:color w:val="000000"/>
        </w:rPr>
        <w:t xml:space="preserve"> </w:t>
      </w:r>
      <w:r w:rsidR="00CF6F86" w:rsidRPr="001A7B30">
        <w:rPr>
          <w:rFonts w:ascii="Arial" w:eastAsia="Times New Roman" w:hAnsi="Arial" w:cs="Arial"/>
          <w:color w:val="000000"/>
        </w:rPr>
        <w:t xml:space="preserve">Similarly, a </w:t>
      </w:r>
      <w:r w:rsidR="00146FC6" w:rsidRPr="001A7B30">
        <w:rPr>
          <w:rFonts w:ascii="Arial" w:eastAsia="Times New Roman" w:hAnsi="Arial" w:cs="Arial"/>
          <w:color w:val="000000"/>
        </w:rPr>
        <w:t xml:space="preserve">$3.0 billion </w:t>
      </w:r>
      <w:r w:rsidR="0085299B" w:rsidRPr="001A7B30">
        <w:rPr>
          <w:rFonts w:ascii="Arial" w:eastAsia="Times New Roman" w:hAnsi="Arial" w:cs="Arial"/>
          <w:color w:val="000000"/>
        </w:rPr>
        <w:t>loan scheduled to be raised in the first quarter of 2020 via Eurobonds was suspended in the wake of the coronavirus outbreak</w:t>
      </w:r>
      <w:r w:rsidR="005B6EDD" w:rsidRPr="001A7B30">
        <w:rPr>
          <w:rFonts w:ascii="Arial" w:eastAsia="Times New Roman" w:hAnsi="Arial" w:cs="Arial"/>
          <w:color w:val="000000"/>
        </w:rPr>
        <w:t>.</w:t>
      </w:r>
      <w:r w:rsidR="0085299B" w:rsidRPr="001A7B30">
        <w:rPr>
          <w:rFonts w:ascii="Arial" w:eastAsia="Times New Roman" w:hAnsi="Arial" w:cs="Arial"/>
          <w:color w:val="000000"/>
        </w:rPr>
        <w:t xml:space="preserve"> </w:t>
      </w:r>
    </w:p>
    <w:p w14:paraId="5C569ECF" w14:textId="77777777" w:rsidR="000E40E7" w:rsidRPr="001A7B30" w:rsidRDefault="000E40E7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2175766" w14:textId="77777777" w:rsidR="0081350C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7B30">
        <w:rPr>
          <w:rFonts w:ascii="Arial" w:eastAsia="Times New Roman" w:hAnsi="Arial" w:cs="Arial"/>
          <w:color w:val="000000"/>
        </w:rPr>
        <w:t xml:space="preserve">Investors and </w:t>
      </w:r>
      <w:r w:rsidR="00A4680A" w:rsidRPr="001A7B30">
        <w:rPr>
          <w:rFonts w:ascii="Arial" w:eastAsia="Times New Roman" w:hAnsi="Arial" w:cs="Arial"/>
          <w:color w:val="000000"/>
        </w:rPr>
        <w:t>exporter</w:t>
      </w:r>
      <w:r w:rsidRPr="001A7B30">
        <w:rPr>
          <w:rFonts w:ascii="Arial" w:eastAsia="Times New Roman" w:hAnsi="Arial" w:cs="Arial"/>
          <w:color w:val="000000"/>
        </w:rPr>
        <w:t xml:space="preserve">s can mitigate the </w:t>
      </w:r>
      <w:r w:rsidR="00836B1B" w:rsidRPr="001A7B30">
        <w:rPr>
          <w:rFonts w:ascii="Arial" w:eastAsia="Times New Roman" w:hAnsi="Arial" w:cs="Arial"/>
          <w:color w:val="000000"/>
        </w:rPr>
        <w:t>impact of</w:t>
      </w:r>
      <w:r w:rsidR="00A4680A" w:rsidRPr="001A7B30">
        <w:rPr>
          <w:rFonts w:ascii="Arial" w:eastAsia="Times New Roman" w:hAnsi="Arial" w:cs="Arial"/>
          <w:color w:val="000000"/>
        </w:rPr>
        <w:t xml:space="preserve"> exchange rate</w:t>
      </w:r>
      <w:r w:rsidR="00836B1B" w:rsidRPr="001A7B30">
        <w:rPr>
          <w:rFonts w:ascii="Arial" w:eastAsia="Times New Roman" w:hAnsi="Arial" w:cs="Arial"/>
          <w:color w:val="000000"/>
        </w:rPr>
        <w:t xml:space="preserve"> fluctuation</w:t>
      </w:r>
      <w:r w:rsidR="00A4680A" w:rsidRPr="001A7B30">
        <w:rPr>
          <w:rFonts w:ascii="Arial" w:eastAsia="Times New Roman" w:hAnsi="Arial" w:cs="Arial"/>
          <w:color w:val="000000"/>
        </w:rPr>
        <w:t>s</w:t>
      </w:r>
      <w:r w:rsidR="00836B1B" w:rsidRPr="001A7B30">
        <w:rPr>
          <w:rFonts w:ascii="Arial" w:eastAsia="Times New Roman" w:hAnsi="Arial" w:cs="Arial"/>
          <w:color w:val="000000"/>
        </w:rPr>
        <w:t xml:space="preserve"> using currency hedging. </w:t>
      </w:r>
      <w:r w:rsidR="00A4680A" w:rsidRPr="001A7B30">
        <w:rPr>
          <w:rFonts w:ascii="Arial" w:eastAsia="Times New Roman" w:hAnsi="Arial" w:cs="Arial"/>
          <w:color w:val="000000"/>
        </w:rPr>
        <w:t>Currency h</w:t>
      </w:r>
      <w:r w:rsidR="00836B1B" w:rsidRPr="001A7B30">
        <w:rPr>
          <w:rFonts w:ascii="Arial" w:eastAsia="Times New Roman" w:hAnsi="Arial" w:cs="Arial"/>
          <w:color w:val="000000"/>
        </w:rPr>
        <w:t xml:space="preserve">edging is </w:t>
      </w:r>
      <w:r w:rsidR="00A4680A" w:rsidRPr="001A7B30">
        <w:rPr>
          <w:rFonts w:ascii="Arial" w:eastAsia="Times New Roman" w:hAnsi="Arial" w:cs="Arial"/>
          <w:color w:val="000000"/>
        </w:rPr>
        <w:t xml:space="preserve">a risk mitigation strategy </w:t>
      </w:r>
      <w:r w:rsidR="00BA0539" w:rsidRPr="001A7B30">
        <w:rPr>
          <w:rFonts w:ascii="Arial" w:eastAsia="Times New Roman" w:hAnsi="Arial" w:cs="Arial"/>
          <w:color w:val="000000"/>
        </w:rPr>
        <w:t xml:space="preserve">in international trade </w:t>
      </w:r>
      <w:r w:rsidR="00A4680A" w:rsidRPr="001A7B30">
        <w:rPr>
          <w:rFonts w:ascii="Arial" w:eastAsia="Times New Roman" w:hAnsi="Arial" w:cs="Arial"/>
          <w:color w:val="000000"/>
        </w:rPr>
        <w:t xml:space="preserve">to </w:t>
      </w:r>
      <w:r w:rsidR="00836B1B" w:rsidRPr="001A7B30">
        <w:rPr>
          <w:rFonts w:ascii="Arial" w:eastAsia="Times New Roman" w:hAnsi="Arial" w:cs="Arial"/>
          <w:color w:val="000000"/>
        </w:rPr>
        <w:t xml:space="preserve">protect against </w:t>
      </w:r>
      <w:r w:rsidR="00A4680A" w:rsidRPr="001A7B30">
        <w:rPr>
          <w:rFonts w:ascii="Arial" w:eastAsia="Times New Roman" w:hAnsi="Arial" w:cs="Arial"/>
          <w:color w:val="000000"/>
        </w:rPr>
        <w:t xml:space="preserve">both unexpected and </w:t>
      </w:r>
      <w:r w:rsidR="00836B1B" w:rsidRPr="001A7B30">
        <w:rPr>
          <w:rFonts w:ascii="Arial" w:eastAsia="Times New Roman" w:hAnsi="Arial" w:cs="Arial"/>
          <w:color w:val="000000"/>
        </w:rPr>
        <w:t>expected changes in exchange rates</w:t>
      </w:r>
      <w:r w:rsidR="00BA0539" w:rsidRPr="001A7B30">
        <w:rPr>
          <w:rFonts w:ascii="Arial" w:eastAsia="Times New Roman" w:hAnsi="Arial" w:cs="Arial"/>
          <w:color w:val="000000"/>
        </w:rPr>
        <w:t>. A typical example of this is to enter into a forward contract for the period of the trade</w:t>
      </w:r>
      <w:r w:rsidR="008C6071" w:rsidRPr="001A7B30">
        <w:rPr>
          <w:rFonts w:ascii="Arial" w:eastAsia="Times New Roman" w:hAnsi="Arial" w:cs="Arial"/>
          <w:color w:val="000000"/>
        </w:rPr>
        <w:t xml:space="preserve"> or investment</w:t>
      </w:r>
      <w:r w:rsidR="00BA0539" w:rsidRPr="001A7B30">
        <w:rPr>
          <w:rFonts w:ascii="Arial" w:eastAsia="Times New Roman" w:hAnsi="Arial" w:cs="Arial"/>
          <w:color w:val="000000"/>
        </w:rPr>
        <w:t xml:space="preserve">. A forward contract is an agreement between a buyer and a seller to trade an asset at a future date. </w:t>
      </w:r>
      <w:r w:rsidR="00783087" w:rsidRPr="001A7B30">
        <w:rPr>
          <w:rFonts w:ascii="Arial" w:eastAsia="Times New Roman" w:hAnsi="Arial" w:cs="Arial"/>
          <w:color w:val="000000"/>
        </w:rPr>
        <w:t xml:space="preserve">The essence of using a forward contract is to lock in an exchange rate at a price set today for future delivery. </w:t>
      </w:r>
      <w:r w:rsidR="00A04532" w:rsidRPr="001A7B30">
        <w:rPr>
          <w:rFonts w:ascii="Arial" w:eastAsia="Times New Roman" w:hAnsi="Arial" w:cs="Arial"/>
          <w:color w:val="000000"/>
        </w:rPr>
        <w:t>Th</w:t>
      </w:r>
      <w:r w:rsidR="006C75E1" w:rsidRPr="001A7B30">
        <w:rPr>
          <w:rFonts w:ascii="Arial" w:eastAsia="Times New Roman" w:hAnsi="Arial" w:cs="Arial"/>
          <w:color w:val="000000"/>
        </w:rPr>
        <w:t xml:space="preserve">e cost of using a forward contract is usually about 1.5% of the contract amount but cheaper than </w:t>
      </w:r>
      <w:r w:rsidRPr="001A7B30">
        <w:rPr>
          <w:rFonts w:ascii="Arial" w:eastAsia="Times New Roman" w:hAnsi="Arial" w:cs="Arial"/>
          <w:color w:val="000000"/>
        </w:rPr>
        <w:t>bearing the co</w:t>
      </w:r>
      <w:r w:rsidR="00FF2F2D" w:rsidRPr="001A7B30">
        <w:rPr>
          <w:rFonts w:ascii="Arial" w:eastAsia="Times New Roman" w:hAnsi="Arial" w:cs="Arial"/>
          <w:color w:val="000000"/>
        </w:rPr>
        <w:t xml:space="preserve">nsequence </w:t>
      </w:r>
      <w:r w:rsidRPr="001A7B30">
        <w:rPr>
          <w:rFonts w:ascii="Arial" w:eastAsia="Times New Roman" w:hAnsi="Arial" w:cs="Arial"/>
          <w:color w:val="000000"/>
        </w:rPr>
        <w:t xml:space="preserve">of </w:t>
      </w:r>
      <w:r w:rsidR="006C75E1" w:rsidRPr="001A7B30">
        <w:rPr>
          <w:rFonts w:ascii="Arial" w:eastAsia="Times New Roman" w:hAnsi="Arial" w:cs="Arial"/>
          <w:color w:val="000000"/>
        </w:rPr>
        <w:t xml:space="preserve">exchange rate fluctuation. </w:t>
      </w:r>
    </w:p>
    <w:p w14:paraId="5480A29E" w14:textId="77777777" w:rsidR="00F27849" w:rsidRPr="001A7B30" w:rsidRDefault="00F27849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5EB7AF0" w14:textId="77777777" w:rsidR="0081350C" w:rsidRPr="00F27849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Currency He</w:t>
      </w:r>
      <w:r w:rsidRPr="00F27849">
        <w:rPr>
          <w:rFonts w:ascii="Arial" w:eastAsia="Times New Roman" w:hAnsi="Arial" w:cs="Arial"/>
          <w:b/>
          <w:color w:val="000000"/>
        </w:rPr>
        <w:t>dging</w:t>
      </w:r>
    </w:p>
    <w:p w14:paraId="15D83D7B" w14:textId="77777777" w:rsidR="00C53FA6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A7B30">
        <w:rPr>
          <w:rFonts w:ascii="Arial" w:eastAsia="Times New Roman" w:hAnsi="Arial" w:cs="Arial"/>
          <w:color w:val="000000"/>
        </w:rPr>
        <w:t>Consider a typical example of a U.S exporter of Bourbon expecting to receive $1,000,000 in three months as proceeds of sales of Bourbon</w:t>
      </w:r>
      <w:r w:rsidR="00CD18CD" w:rsidRPr="001A7B30">
        <w:rPr>
          <w:rFonts w:ascii="Arial" w:eastAsia="Times New Roman" w:hAnsi="Arial" w:cs="Arial"/>
          <w:color w:val="000000"/>
        </w:rPr>
        <w:t xml:space="preserve"> in Nigeria</w:t>
      </w:r>
      <w:r w:rsidRPr="001A7B30">
        <w:rPr>
          <w:rFonts w:ascii="Arial" w:eastAsia="Times New Roman" w:hAnsi="Arial" w:cs="Arial"/>
          <w:color w:val="000000"/>
        </w:rPr>
        <w:t>.</w:t>
      </w:r>
      <w:r w:rsidR="003C1031" w:rsidRPr="001A7B30">
        <w:rPr>
          <w:rFonts w:ascii="Arial" w:eastAsia="Times New Roman" w:hAnsi="Arial" w:cs="Arial"/>
          <w:color w:val="000000"/>
        </w:rPr>
        <w:t xml:space="preserve"> </w:t>
      </w:r>
      <w:r w:rsidR="00CD18CD" w:rsidRPr="001A7B30">
        <w:rPr>
          <w:rFonts w:ascii="Arial" w:eastAsia="Times New Roman" w:hAnsi="Arial" w:cs="Arial"/>
          <w:color w:val="000000"/>
        </w:rPr>
        <w:t xml:space="preserve">The funds will first be earned in Naira before being converted into USD at the prevailing exchange rate. </w:t>
      </w:r>
      <w:r w:rsidR="00863CEA" w:rsidRPr="001A7B30">
        <w:rPr>
          <w:rFonts w:ascii="Arial" w:eastAsia="Times New Roman" w:hAnsi="Arial" w:cs="Arial"/>
          <w:color w:val="000000"/>
        </w:rPr>
        <w:t xml:space="preserve">Assuming a </w:t>
      </w:r>
      <w:r w:rsidR="000B5848" w:rsidRPr="001A7B30">
        <w:rPr>
          <w:rFonts w:ascii="Arial" w:eastAsia="Times New Roman" w:hAnsi="Arial" w:cs="Arial"/>
          <w:color w:val="000000"/>
        </w:rPr>
        <w:t>scenario where the value of USD remains co</w:t>
      </w:r>
      <w:r w:rsidR="006F4206">
        <w:rPr>
          <w:rFonts w:ascii="Arial" w:eastAsia="Times New Roman" w:hAnsi="Arial" w:cs="Arial"/>
          <w:color w:val="000000"/>
        </w:rPr>
        <w:t>nstant, and Naira experiences 10</w:t>
      </w:r>
      <w:r w:rsidR="00863CEA" w:rsidRPr="001A7B30">
        <w:rPr>
          <w:rFonts w:ascii="Arial" w:eastAsia="Times New Roman" w:hAnsi="Arial" w:cs="Arial"/>
          <w:color w:val="000000"/>
        </w:rPr>
        <w:t xml:space="preserve">% depreciation, I would earn $909,090 </w:t>
      </w:r>
      <w:r w:rsidR="00766259" w:rsidRPr="001A7B30">
        <w:rPr>
          <w:rFonts w:ascii="Arial" w:eastAsia="Times New Roman" w:hAnsi="Arial" w:cs="Arial"/>
          <w:color w:val="000000"/>
        </w:rPr>
        <w:t xml:space="preserve">when the sales proceeds come in, </w:t>
      </w:r>
      <w:r w:rsidR="00585CC9" w:rsidRPr="001A7B30">
        <w:rPr>
          <w:rFonts w:ascii="Arial" w:eastAsia="Times New Roman" w:hAnsi="Arial" w:cs="Arial"/>
          <w:color w:val="000000"/>
        </w:rPr>
        <w:t xml:space="preserve">resulting in </w:t>
      </w:r>
      <w:r w:rsidR="008C6071" w:rsidRPr="001A7B30">
        <w:rPr>
          <w:rFonts w:ascii="Arial" w:eastAsia="Times New Roman" w:hAnsi="Arial" w:cs="Arial"/>
          <w:color w:val="000000"/>
        </w:rPr>
        <w:t xml:space="preserve">an </w:t>
      </w:r>
      <w:r w:rsidR="00585CC9" w:rsidRPr="001A7B30">
        <w:rPr>
          <w:rFonts w:ascii="Arial" w:eastAsia="Times New Roman" w:hAnsi="Arial" w:cs="Arial"/>
          <w:color w:val="000000"/>
        </w:rPr>
        <w:t xml:space="preserve">exchange rate </w:t>
      </w:r>
      <w:r w:rsidR="006F4206">
        <w:rPr>
          <w:rFonts w:ascii="Arial" w:eastAsia="Times New Roman" w:hAnsi="Arial" w:cs="Arial"/>
          <w:color w:val="000000"/>
        </w:rPr>
        <w:t>loss of $</w:t>
      </w:r>
      <w:r w:rsidR="00863CEA" w:rsidRPr="001A7B30">
        <w:rPr>
          <w:rFonts w:ascii="Arial" w:eastAsia="Times New Roman" w:hAnsi="Arial" w:cs="Arial"/>
          <w:color w:val="000000"/>
        </w:rPr>
        <w:t>91,000</w:t>
      </w:r>
      <w:r w:rsidR="000B5848" w:rsidRPr="001A7B30">
        <w:rPr>
          <w:rFonts w:ascii="Arial" w:eastAsia="Times New Roman" w:hAnsi="Arial" w:cs="Arial"/>
          <w:color w:val="000000"/>
        </w:rPr>
        <w:t xml:space="preserve"> without currency hedging</w:t>
      </w:r>
      <w:r w:rsidR="00863CE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14:paraId="23BB4791" w14:textId="77777777" w:rsidR="00C53FA6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2E6DD8E4" wp14:editId="47266690">
            <wp:extent cx="5934075" cy="2171700"/>
            <wp:effectExtent l="19050" t="19050" r="2857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483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53BC6" w14:textId="77777777" w:rsidR="00E77B0E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A7B30">
        <w:rPr>
          <w:rFonts w:ascii="Arial" w:eastAsia="Times New Roman" w:hAnsi="Arial" w:cs="Arial"/>
          <w:color w:val="000000"/>
        </w:rPr>
        <w:t>However, with a forward contract</w:t>
      </w:r>
      <w:r w:rsidR="00E6365B" w:rsidRPr="001A7B30">
        <w:rPr>
          <w:rFonts w:ascii="Arial" w:eastAsia="Times New Roman" w:hAnsi="Arial" w:cs="Arial"/>
          <w:color w:val="000000"/>
        </w:rPr>
        <w:t xml:space="preserve">, as shown </w:t>
      </w:r>
      <w:r w:rsidR="00F13326" w:rsidRPr="001A7B30">
        <w:rPr>
          <w:rFonts w:ascii="Arial" w:eastAsia="Times New Roman" w:hAnsi="Arial" w:cs="Arial"/>
          <w:color w:val="000000"/>
        </w:rPr>
        <w:t>above</w:t>
      </w:r>
      <w:r w:rsidRPr="001A7B30">
        <w:rPr>
          <w:rFonts w:ascii="Arial" w:eastAsia="Times New Roman" w:hAnsi="Arial" w:cs="Arial"/>
          <w:color w:val="000000"/>
        </w:rPr>
        <w:t xml:space="preserve">, I would have received the Naira </w:t>
      </w:r>
      <w:r w:rsidR="00EC354F" w:rsidRPr="001A7B30">
        <w:rPr>
          <w:rFonts w:ascii="Arial" w:eastAsia="Times New Roman" w:hAnsi="Arial" w:cs="Arial"/>
          <w:color w:val="000000"/>
        </w:rPr>
        <w:t xml:space="preserve">equivalent </w:t>
      </w:r>
      <w:r w:rsidRPr="001A7B30">
        <w:rPr>
          <w:rFonts w:ascii="Arial" w:eastAsia="Times New Roman" w:hAnsi="Arial" w:cs="Arial"/>
          <w:color w:val="000000"/>
        </w:rPr>
        <w:t xml:space="preserve">to purchase $1,000,000 </w:t>
      </w:r>
      <w:r w:rsidR="00EC354F" w:rsidRPr="001A7B30">
        <w:rPr>
          <w:rFonts w:ascii="Arial" w:eastAsia="Times New Roman" w:hAnsi="Arial" w:cs="Arial"/>
          <w:color w:val="000000"/>
        </w:rPr>
        <w:t xml:space="preserve">even at the cost of </w:t>
      </w:r>
      <w:r w:rsidRPr="001A7B30">
        <w:rPr>
          <w:rFonts w:ascii="Arial" w:eastAsia="Times New Roman" w:hAnsi="Arial" w:cs="Arial"/>
          <w:color w:val="000000"/>
        </w:rPr>
        <w:t xml:space="preserve">1.5% </w:t>
      </w:r>
      <w:r w:rsidR="00EC354F" w:rsidRPr="001A7B30">
        <w:rPr>
          <w:rFonts w:ascii="Arial" w:eastAsia="Times New Roman" w:hAnsi="Arial" w:cs="Arial"/>
          <w:color w:val="000000"/>
        </w:rPr>
        <w:t xml:space="preserve">being the </w:t>
      </w:r>
      <w:r w:rsidRPr="001A7B30">
        <w:rPr>
          <w:rFonts w:ascii="Arial" w:eastAsia="Times New Roman" w:hAnsi="Arial" w:cs="Arial"/>
          <w:color w:val="000000"/>
        </w:rPr>
        <w:t>forward contract fee. This would result in $985,000 at the end of the contract versus $909,090 without hedg</w:t>
      </w:r>
      <w:r w:rsidR="00EC354F" w:rsidRPr="001A7B30">
        <w:rPr>
          <w:rFonts w:ascii="Arial" w:eastAsia="Times New Roman" w:hAnsi="Arial" w:cs="Arial"/>
          <w:color w:val="000000"/>
        </w:rPr>
        <w:t>ing</w:t>
      </w:r>
      <w:r w:rsidRPr="001A7B30">
        <w:rPr>
          <w:rFonts w:ascii="Arial" w:eastAsia="Times New Roman" w:hAnsi="Arial" w:cs="Arial"/>
          <w:color w:val="000000"/>
        </w:rPr>
        <w:t>. Similarly, without hedging and assuming a 10% appreciation of the Naira, I would earn $1,111,111 a</w:t>
      </w:r>
      <w:r w:rsidR="003234D0" w:rsidRPr="001A7B30">
        <w:rPr>
          <w:rFonts w:ascii="Arial" w:eastAsia="Times New Roman" w:hAnsi="Arial" w:cs="Arial"/>
          <w:color w:val="000000"/>
        </w:rPr>
        <w:t xml:space="preserve">t the expiration of the contract. </w:t>
      </w:r>
      <w:r w:rsidR="00C35F24" w:rsidRPr="001A7B30">
        <w:rPr>
          <w:rFonts w:ascii="Arial" w:eastAsia="Times New Roman" w:hAnsi="Arial" w:cs="Arial"/>
          <w:color w:val="000000"/>
        </w:rPr>
        <w:t>Hedging would only result in $15,000 less, which is a better option than allowing the consequence of a fluctuating exchange rate to crystalize.</w:t>
      </w:r>
    </w:p>
    <w:p w14:paraId="5DC2FA50" w14:textId="77777777" w:rsidR="00146FC6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73983F2" wp14:editId="6487A863">
            <wp:extent cx="5934075" cy="26955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719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B1AC" w14:textId="77777777" w:rsidR="00A24092" w:rsidRPr="001A7B30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7B30">
        <w:rPr>
          <w:rFonts w:ascii="Arial" w:eastAsia="Times New Roman" w:hAnsi="Arial" w:cs="Arial"/>
          <w:color w:val="000000"/>
        </w:rPr>
        <w:t xml:space="preserve">As seen in the example above, when </w:t>
      </w:r>
      <w:r w:rsidR="00162C47" w:rsidRPr="001A7B30">
        <w:rPr>
          <w:rFonts w:ascii="Arial" w:eastAsia="Times New Roman" w:hAnsi="Arial" w:cs="Arial"/>
          <w:color w:val="000000"/>
        </w:rPr>
        <w:t xml:space="preserve">faced with uncertainties about </w:t>
      </w:r>
      <w:r w:rsidRPr="001A7B30">
        <w:rPr>
          <w:rFonts w:ascii="Arial" w:eastAsia="Times New Roman" w:hAnsi="Arial" w:cs="Arial"/>
          <w:color w:val="000000"/>
        </w:rPr>
        <w:t xml:space="preserve">future payments </w:t>
      </w:r>
      <w:r w:rsidR="00162C47" w:rsidRPr="001A7B30">
        <w:rPr>
          <w:rFonts w:ascii="Arial" w:eastAsia="Times New Roman" w:hAnsi="Arial" w:cs="Arial"/>
          <w:color w:val="000000"/>
        </w:rPr>
        <w:t>or fund receipts, forward c</w:t>
      </w:r>
      <w:r w:rsidR="0060265F" w:rsidRPr="001A7B30">
        <w:rPr>
          <w:rFonts w:ascii="Arial" w:eastAsia="Times New Roman" w:hAnsi="Arial" w:cs="Arial"/>
          <w:color w:val="000000"/>
        </w:rPr>
        <w:t>ontracts</w:t>
      </w:r>
      <w:r w:rsidR="00162C47" w:rsidRPr="001A7B30">
        <w:rPr>
          <w:rFonts w:ascii="Arial" w:eastAsia="Times New Roman" w:hAnsi="Arial" w:cs="Arial"/>
          <w:color w:val="000000"/>
        </w:rPr>
        <w:t xml:space="preserve"> can be used to manage those uncertainties within a fixed budget</w:t>
      </w:r>
      <w:r w:rsidR="00E46816" w:rsidRPr="001A7B30">
        <w:rPr>
          <w:rFonts w:ascii="Arial" w:eastAsia="Times New Roman" w:hAnsi="Arial" w:cs="Arial"/>
          <w:color w:val="000000"/>
        </w:rPr>
        <w:t xml:space="preserve"> and effectively eliminate</w:t>
      </w:r>
      <w:r w:rsidR="005603BF" w:rsidRPr="001A7B30">
        <w:rPr>
          <w:rFonts w:ascii="Arial" w:eastAsia="Times New Roman" w:hAnsi="Arial" w:cs="Arial"/>
          <w:color w:val="000000"/>
        </w:rPr>
        <w:t>s</w:t>
      </w:r>
      <w:r w:rsidR="00E46816" w:rsidRPr="001A7B30">
        <w:rPr>
          <w:rFonts w:ascii="Arial" w:eastAsia="Times New Roman" w:hAnsi="Arial" w:cs="Arial"/>
          <w:color w:val="000000"/>
        </w:rPr>
        <w:t> the risk of potential losses from adverse market movements</w:t>
      </w:r>
      <w:r w:rsidR="00162C47" w:rsidRPr="001A7B30">
        <w:rPr>
          <w:rFonts w:ascii="Arial" w:eastAsia="Times New Roman" w:hAnsi="Arial" w:cs="Arial"/>
          <w:color w:val="000000"/>
        </w:rPr>
        <w:t>. T</w:t>
      </w:r>
      <w:r w:rsidR="0060265F" w:rsidRPr="001A7B30">
        <w:rPr>
          <w:rFonts w:ascii="Arial" w:eastAsia="Times New Roman" w:hAnsi="Arial" w:cs="Arial"/>
          <w:color w:val="000000"/>
        </w:rPr>
        <w:t xml:space="preserve">he main disadvantage of using forward contracts is </w:t>
      </w:r>
      <w:r w:rsidR="00E46816" w:rsidRPr="001A7B30">
        <w:rPr>
          <w:rFonts w:ascii="Arial" w:eastAsia="Times New Roman" w:hAnsi="Arial" w:cs="Arial"/>
          <w:color w:val="000000"/>
        </w:rPr>
        <w:t xml:space="preserve">that they are not </w:t>
      </w:r>
      <w:r w:rsidR="0013569A" w:rsidRPr="001A7B30">
        <w:rPr>
          <w:rFonts w:ascii="Arial" w:eastAsia="Times New Roman" w:hAnsi="Arial" w:cs="Arial"/>
          <w:color w:val="000000"/>
        </w:rPr>
        <w:t>liquid, un</w:t>
      </w:r>
      <w:r w:rsidR="00E46816" w:rsidRPr="001A7B30">
        <w:rPr>
          <w:rFonts w:ascii="Arial" w:eastAsia="Times New Roman" w:hAnsi="Arial" w:cs="Arial"/>
          <w:color w:val="000000"/>
        </w:rPr>
        <w:t>standardized</w:t>
      </w:r>
      <w:r w:rsidR="0013569A" w:rsidRPr="001A7B30">
        <w:rPr>
          <w:rFonts w:ascii="Arial" w:eastAsia="Times New Roman" w:hAnsi="Arial" w:cs="Arial"/>
          <w:color w:val="000000"/>
        </w:rPr>
        <w:t xml:space="preserve">, and has a high default risk. Options and futures contracts are other </w:t>
      </w:r>
      <w:r w:rsidR="0060265F" w:rsidRPr="001A7B30">
        <w:rPr>
          <w:rFonts w:ascii="Arial" w:eastAsia="Times New Roman" w:hAnsi="Arial" w:cs="Arial"/>
          <w:color w:val="000000"/>
        </w:rPr>
        <w:t xml:space="preserve">means of hedging </w:t>
      </w:r>
      <w:r w:rsidR="005603BF" w:rsidRPr="001A7B30">
        <w:rPr>
          <w:rFonts w:ascii="Arial" w:eastAsia="Times New Roman" w:hAnsi="Arial" w:cs="Arial"/>
          <w:color w:val="000000"/>
        </w:rPr>
        <w:t xml:space="preserve">investments against </w:t>
      </w:r>
      <w:r w:rsidR="0013569A" w:rsidRPr="001A7B30">
        <w:rPr>
          <w:rFonts w:ascii="Arial" w:eastAsia="Times New Roman" w:hAnsi="Arial" w:cs="Arial"/>
          <w:color w:val="000000"/>
        </w:rPr>
        <w:t>currenc</w:t>
      </w:r>
      <w:r w:rsidR="005603BF" w:rsidRPr="001A7B30">
        <w:rPr>
          <w:rFonts w:ascii="Arial" w:eastAsia="Times New Roman" w:hAnsi="Arial" w:cs="Arial"/>
          <w:color w:val="000000"/>
        </w:rPr>
        <w:t xml:space="preserve">y </w:t>
      </w:r>
      <w:r w:rsidR="0013569A" w:rsidRPr="001A7B30">
        <w:rPr>
          <w:rFonts w:ascii="Arial" w:eastAsia="Times New Roman" w:hAnsi="Arial" w:cs="Arial"/>
          <w:color w:val="000000"/>
        </w:rPr>
        <w:t>fluctuations.</w:t>
      </w:r>
    </w:p>
    <w:p w14:paraId="3AF1C876" w14:textId="77777777" w:rsidR="006217C4" w:rsidRPr="001A7B30" w:rsidRDefault="006217C4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8A41A73" w14:textId="77777777" w:rsidR="001A7B30" w:rsidRPr="00A72336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A72336">
        <w:rPr>
          <w:rFonts w:ascii="Arial" w:eastAsia="Times New Roman" w:hAnsi="Arial" w:cs="Arial"/>
          <w:b/>
          <w:color w:val="000000"/>
        </w:rPr>
        <w:t>Conclusion</w:t>
      </w:r>
    </w:p>
    <w:p w14:paraId="7A97A7D5" w14:textId="77777777" w:rsidR="006217C4" w:rsidRDefault="00B70460" w:rsidP="00094A6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7B30">
        <w:rPr>
          <w:rFonts w:ascii="Arial" w:eastAsia="Times New Roman" w:hAnsi="Arial" w:cs="Arial"/>
          <w:color w:val="000000"/>
        </w:rPr>
        <w:t xml:space="preserve">Exchange rate fluctuations could have a significant impact on investment proceeds and </w:t>
      </w:r>
      <w:r w:rsidR="000B5848" w:rsidRPr="001A7B30">
        <w:rPr>
          <w:rFonts w:ascii="Arial" w:eastAsia="Times New Roman" w:hAnsi="Arial" w:cs="Arial"/>
          <w:color w:val="000000"/>
        </w:rPr>
        <w:t xml:space="preserve">overall </w:t>
      </w:r>
      <w:r w:rsidRPr="001A7B30">
        <w:rPr>
          <w:rFonts w:ascii="Arial" w:eastAsia="Times New Roman" w:hAnsi="Arial" w:cs="Arial"/>
          <w:color w:val="000000"/>
        </w:rPr>
        <w:t>profitability. Currency heading helps in smooth</w:t>
      </w:r>
      <w:r w:rsidR="00CB13C9">
        <w:rPr>
          <w:rFonts w:ascii="Arial" w:eastAsia="Times New Roman" w:hAnsi="Arial" w:cs="Arial"/>
          <w:color w:val="000000"/>
        </w:rPr>
        <w:t>en</w:t>
      </w:r>
      <w:r w:rsidRPr="001A7B30">
        <w:rPr>
          <w:rFonts w:ascii="Arial" w:eastAsia="Times New Roman" w:hAnsi="Arial" w:cs="Arial"/>
          <w:color w:val="000000"/>
        </w:rPr>
        <w:t xml:space="preserve">ing uncertainties </w:t>
      </w:r>
      <w:r w:rsidR="00F13326" w:rsidRPr="001A7B30">
        <w:rPr>
          <w:rFonts w:ascii="Arial" w:eastAsia="Times New Roman" w:hAnsi="Arial" w:cs="Arial"/>
          <w:color w:val="000000"/>
        </w:rPr>
        <w:t>due to</w:t>
      </w:r>
      <w:r w:rsidRPr="001A7B30">
        <w:rPr>
          <w:rFonts w:ascii="Arial" w:eastAsia="Times New Roman" w:hAnsi="Arial" w:cs="Arial"/>
          <w:color w:val="000000"/>
        </w:rPr>
        <w:t xml:space="preserve"> c</w:t>
      </w:r>
      <w:r w:rsidR="00F13326" w:rsidRPr="001A7B30">
        <w:rPr>
          <w:rFonts w:ascii="Arial" w:eastAsia="Times New Roman" w:hAnsi="Arial" w:cs="Arial"/>
          <w:color w:val="000000"/>
        </w:rPr>
        <w:t>urrency fluctuation and protects the value of an investment.</w:t>
      </w:r>
    </w:p>
    <w:p w14:paraId="270E9276" w14:textId="77777777" w:rsidR="002263B2" w:rsidRDefault="002263B2" w:rsidP="002263B2">
      <w:pPr>
        <w:rPr>
          <w:rFonts w:eastAsia="Times New Roman"/>
        </w:rPr>
      </w:pPr>
    </w:p>
    <w:p w14:paraId="6F6120C2" w14:textId="77777777" w:rsidR="006B562B" w:rsidRDefault="006B562B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75158AE9" w14:textId="62D3B8B0" w:rsidR="002263B2" w:rsidRPr="002263B2" w:rsidRDefault="002263B2" w:rsidP="002263B2">
      <w:pPr>
        <w:rPr>
          <w:rFonts w:ascii="Arial" w:eastAsia="Times New Roman" w:hAnsi="Arial" w:cs="Arial"/>
          <w:color w:val="000000"/>
        </w:rPr>
      </w:pPr>
      <w:r w:rsidRPr="002263B2">
        <w:rPr>
          <w:rFonts w:ascii="Arial" w:eastAsia="Times New Roman" w:hAnsi="Arial" w:cs="Arial"/>
          <w:color w:val="000000"/>
        </w:rPr>
        <w:lastRenderedPageBreak/>
        <w:t>References</w:t>
      </w:r>
    </w:p>
    <w:p w14:paraId="567F08E0" w14:textId="77777777" w:rsidR="002263B2" w:rsidRDefault="002263B2" w:rsidP="002263B2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Baiyewu, L., &amp; Onuba, I. (2020, February 12). </w:t>
      </w:r>
      <w:r>
        <w:rPr>
          <w:rStyle w:val="Emphasis"/>
        </w:rPr>
        <w:t>Reps suspend Buhari’s $22.79bn loan consideration indefinitely</w:t>
      </w:r>
      <w:r>
        <w:t xml:space="preserve">. </w:t>
      </w:r>
      <w:hyperlink r:id="rId9" w:history="1">
        <w:r>
          <w:rPr>
            <w:rStyle w:val="Hyperlink"/>
          </w:rPr>
          <w:t>https://punchng.com/reps-suspend-buharis-22-79bn-loan-consideration-indefinitely/</w:t>
        </w:r>
      </w:hyperlink>
    </w:p>
    <w:p w14:paraId="62845982" w14:textId="77777777" w:rsidR="002263B2" w:rsidRDefault="002263B2" w:rsidP="002263B2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Proshare. (2020, March 31). </w:t>
      </w:r>
      <w:r>
        <w:rPr>
          <w:rStyle w:val="Emphasis"/>
        </w:rPr>
        <w:t>CBN Responds to global economic conditions, depreciates Naira</w:t>
      </w:r>
      <w:r>
        <w:t xml:space="preserve">. </w:t>
      </w:r>
      <w:hyperlink r:id="rId10" w:history="1">
        <w:r>
          <w:rPr>
            <w:rStyle w:val="Hyperlink"/>
          </w:rPr>
          <w:t>https://www.proshareng.com/news/%20BONDS%20&amp;%20FIXED%20INCOME/CBN-Responds-to-Global-Economic-Conditions--Depreciates-Naira/50003</w:t>
        </w:r>
      </w:hyperlink>
    </w:p>
    <w:p w14:paraId="0A6AABCB" w14:textId="77777777" w:rsidR="003E2C03" w:rsidRPr="001A7B30" w:rsidRDefault="003E2C03" w:rsidP="002263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sectPr w:rsidR="003E2C03" w:rsidRPr="001A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3C"/>
    <w:rsid w:val="00027BE9"/>
    <w:rsid w:val="0004028C"/>
    <w:rsid w:val="00094A60"/>
    <w:rsid w:val="000A167E"/>
    <w:rsid w:val="000B5848"/>
    <w:rsid w:val="000B753C"/>
    <w:rsid w:val="000E40E7"/>
    <w:rsid w:val="000E602B"/>
    <w:rsid w:val="000F6214"/>
    <w:rsid w:val="0013569A"/>
    <w:rsid w:val="00146FC6"/>
    <w:rsid w:val="00153B67"/>
    <w:rsid w:val="00162C47"/>
    <w:rsid w:val="001634F6"/>
    <w:rsid w:val="001A28E3"/>
    <w:rsid w:val="001A7B30"/>
    <w:rsid w:val="001E7475"/>
    <w:rsid w:val="002263B2"/>
    <w:rsid w:val="002306FF"/>
    <w:rsid w:val="002547F9"/>
    <w:rsid w:val="002C62F7"/>
    <w:rsid w:val="003067C5"/>
    <w:rsid w:val="003234D0"/>
    <w:rsid w:val="0034408F"/>
    <w:rsid w:val="003C1031"/>
    <w:rsid w:val="003E0DCA"/>
    <w:rsid w:val="003E2C03"/>
    <w:rsid w:val="00400013"/>
    <w:rsid w:val="004053AE"/>
    <w:rsid w:val="00461CC2"/>
    <w:rsid w:val="00487EFA"/>
    <w:rsid w:val="00493182"/>
    <w:rsid w:val="004E1062"/>
    <w:rsid w:val="00501104"/>
    <w:rsid w:val="00501ED0"/>
    <w:rsid w:val="00524BC3"/>
    <w:rsid w:val="005603BF"/>
    <w:rsid w:val="005649E4"/>
    <w:rsid w:val="00585CC9"/>
    <w:rsid w:val="005B6EDD"/>
    <w:rsid w:val="00600C60"/>
    <w:rsid w:val="0060265F"/>
    <w:rsid w:val="006217C4"/>
    <w:rsid w:val="00670211"/>
    <w:rsid w:val="006B562B"/>
    <w:rsid w:val="006B6C57"/>
    <w:rsid w:val="006C75E1"/>
    <w:rsid w:val="006F4206"/>
    <w:rsid w:val="007442A4"/>
    <w:rsid w:val="00766259"/>
    <w:rsid w:val="00783087"/>
    <w:rsid w:val="007879BE"/>
    <w:rsid w:val="00793BCC"/>
    <w:rsid w:val="007A7F7C"/>
    <w:rsid w:val="0081350C"/>
    <w:rsid w:val="00827093"/>
    <w:rsid w:val="00827DFB"/>
    <w:rsid w:val="00836B1B"/>
    <w:rsid w:val="00845AC2"/>
    <w:rsid w:val="0085299B"/>
    <w:rsid w:val="00863CEA"/>
    <w:rsid w:val="00870CB2"/>
    <w:rsid w:val="00892199"/>
    <w:rsid w:val="008A06D8"/>
    <w:rsid w:val="008A702C"/>
    <w:rsid w:val="008C6071"/>
    <w:rsid w:val="008D2D1F"/>
    <w:rsid w:val="00964A85"/>
    <w:rsid w:val="009C6050"/>
    <w:rsid w:val="009E232E"/>
    <w:rsid w:val="00A04532"/>
    <w:rsid w:val="00A045DE"/>
    <w:rsid w:val="00A24092"/>
    <w:rsid w:val="00A4680A"/>
    <w:rsid w:val="00A72336"/>
    <w:rsid w:val="00A861B8"/>
    <w:rsid w:val="00A91A75"/>
    <w:rsid w:val="00AE03F2"/>
    <w:rsid w:val="00B12846"/>
    <w:rsid w:val="00B256EC"/>
    <w:rsid w:val="00B56838"/>
    <w:rsid w:val="00B70460"/>
    <w:rsid w:val="00BA0539"/>
    <w:rsid w:val="00BC3ED7"/>
    <w:rsid w:val="00C35F24"/>
    <w:rsid w:val="00C53FA6"/>
    <w:rsid w:val="00CB13C9"/>
    <w:rsid w:val="00CC5C03"/>
    <w:rsid w:val="00CD18CD"/>
    <w:rsid w:val="00CF6F86"/>
    <w:rsid w:val="00D32F6D"/>
    <w:rsid w:val="00D50670"/>
    <w:rsid w:val="00D72808"/>
    <w:rsid w:val="00DE1585"/>
    <w:rsid w:val="00DE4DCE"/>
    <w:rsid w:val="00E46816"/>
    <w:rsid w:val="00E5116B"/>
    <w:rsid w:val="00E6365B"/>
    <w:rsid w:val="00E77B0E"/>
    <w:rsid w:val="00EC354F"/>
    <w:rsid w:val="00ED70A5"/>
    <w:rsid w:val="00F13326"/>
    <w:rsid w:val="00F27849"/>
    <w:rsid w:val="00FC4284"/>
    <w:rsid w:val="00FC637E"/>
    <w:rsid w:val="00FE6362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AAC0"/>
  <w15:docId w15:val="{3F1E221C-779C-4162-8251-7754826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683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C42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63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6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proshareng.com/news/%20BONDS%20&amp;%20FIXED%20INCOME/CBN-Responds-to-Global-Economic-Conditions--Depreciates-Naira/5000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unchng.com/reps-suspend-buharis-22-79bn-loan-consideration-indefinite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1035</Words>
  <Characters>5663</Characters>
  <Application>Microsoft Office Word</Application>
  <DocSecurity>0</DocSecurity>
  <Lines>108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Sourinsack,Phonepaseuth</cp:lastModifiedBy>
  <cp:revision>7</cp:revision>
  <cp:lastPrinted>2020-04-19T18:17:00Z</cp:lastPrinted>
  <dcterms:created xsi:type="dcterms:W3CDTF">2020-11-06T19:00:00Z</dcterms:created>
  <dcterms:modified xsi:type="dcterms:W3CDTF">2021-05-03T22:35:00Z</dcterms:modified>
</cp:coreProperties>
</file>